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751" w:rsidRDefault="00D90E78">
      <w:pPr>
        <w:keepNext/>
        <w:spacing w:after="60"/>
        <w:rPr>
          <w:sz w:val="32"/>
          <w:szCs w:val="32"/>
        </w:rPr>
      </w:pPr>
      <w:bookmarkStart w:id="0" w:name="_GoBack"/>
      <w:bookmarkEnd w:id="0"/>
      <w:r>
        <w:rPr>
          <w:sz w:val="32"/>
          <w:szCs w:val="32"/>
        </w:rPr>
        <w:t>Inertial sensors</w:t>
      </w:r>
    </w:p>
    <w:p w:rsidR="00E85751" w:rsidRDefault="00D90E78">
      <w:pPr>
        <w:pStyle w:val="Titre1"/>
        <w:shd w:val="clear" w:color="auto" w:fill="FFFFFF"/>
        <w:rPr>
          <w:sz w:val="32"/>
          <w:szCs w:val="32"/>
        </w:rPr>
      </w:pPr>
      <w:r>
        <w:rPr>
          <w:sz w:val="32"/>
          <w:szCs w:val="32"/>
        </w:rPr>
        <w:t>TDK releases Tronics AXO</w:t>
      </w:r>
      <w:r>
        <w:rPr>
          <w:sz w:val="32"/>
          <w:szCs w:val="32"/>
          <w:vertAlign w:val="superscript"/>
        </w:rPr>
        <w:t>®</w:t>
      </w:r>
      <w:r>
        <w:rPr>
          <w:sz w:val="32"/>
          <w:szCs w:val="32"/>
        </w:rPr>
        <w:t>315 force-rebalance digital MEMS accelerometer at distribution partners</w:t>
      </w:r>
    </w:p>
    <w:p w:rsidR="00E85751" w:rsidRDefault="00E85751"/>
    <w:p w:rsidR="00E85751" w:rsidRDefault="00E85751"/>
    <w:p w:rsidR="00E85751" w:rsidRDefault="00D90E78">
      <w:r>
        <w:t xml:space="preserve">October </w:t>
      </w:r>
      <w:r w:rsidR="00A81546">
        <w:t>14</w:t>
      </w:r>
      <w:r>
        <w:t>, 2021</w:t>
      </w:r>
    </w:p>
    <w:p w:rsidR="00E85751" w:rsidRDefault="00E85751"/>
    <w:sdt>
      <w:sdtPr>
        <w:tag w:val="goog_rdk_3"/>
        <w:id w:val="-1181049281"/>
      </w:sdtPr>
      <w:sdtEndPr/>
      <w:sdtContent>
        <w:p w:rsidR="00E85751" w:rsidRDefault="00D90E78">
          <w:r>
            <w:t>TDK Corporation (TSE: 6762) announces that Tronics AXO</w:t>
          </w:r>
          <w:r>
            <w:rPr>
              <w:vertAlign w:val="superscript"/>
            </w:rPr>
            <w:t>®</w:t>
          </w:r>
          <w:r>
            <w:t xml:space="preserve">315, a miniature high-performance 1-axis closed-loop digital MEMS accelerometer, is now available for purchase at Digikey, Mouser and Farnell and its affiliates Newark and Element 14. The AXO315 sensor and its Arduino-based evaluation kit are now available globally from the </w:t>
          </w:r>
          <w:sdt>
            <w:sdtPr>
              <w:tag w:val="goog_rdk_0"/>
              <w:id w:val="-1629778832"/>
            </w:sdtPr>
            <w:sdtEndPr/>
            <w:sdtContent>
              <w:r>
                <w:t>three</w:t>
              </w:r>
            </w:sdtContent>
          </w:sdt>
          <w:r>
            <w:t xml:space="preserve"> distributors’ websites.</w:t>
          </w:r>
          <w:sdt>
            <w:sdtPr>
              <w:tag w:val="goog_rdk_2"/>
              <w:id w:val="-1548059125"/>
            </w:sdtPr>
            <w:sdtEndPr/>
            <w:sdtContent/>
          </w:sdt>
        </w:p>
      </w:sdtContent>
    </w:sdt>
    <w:sdt>
      <w:sdtPr>
        <w:tag w:val="goog_rdk_5"/>
        <w:id w:val="-1062019396"/>
      </w:sdtPr>
      <w:sdtEndPr/>
      <w:sdtContent>
        <w:p w:rsidR="00E85751" w:rsidRDefault="008952EF">
          <w:sdt>
            <w:sdtPr>
              <w:tag w:val="goog_rdk_4"/>
              <w:id w:val="1027607212"/>
            </w:sdtPr>
            <w:sdtEndPr/>
            <w:sdtContent/>
          </w:sdt>
        </w:p>
      </w:sdtContent>
    </w:sdt>
    <w:sdt>
      <w:sdtPr>
        <w:tag w:val="goog_rdk_8"/>
        <w:id w:val="172624470"/>
      </w:sdtPr>
      <w:sdtEndPr/>
      <w:sdtContent>
        <w:p w:rsidR="00E85751" w:rsidRDefault="008952EF">
          <w:sdt>
            <w:sdtPr>
              <w:tag w:val="goog_rdk_6"/>
              <w:id w:val="585342759"/>
            </w:sdtPr>
            <w:sdtEndPr/>
            <w:sdtContent>
              <w:r w:rsidR="00D90E78">
                <w:t xml:space="preserve">AXO315 is a ±14 </w:t>
              </w:r>
              <w:r w:rsidR="00D90E78">
                <w:rPr>
                  <w:i/>
                </w:rPr>
                <w:t>g</w:t>
              </w:r>
              <w:r w:rsidR="00D90E78">
                <w:t xml:space="preserve"> range, in-plane linear accelerometer designed and developed to provide high precision and reliability in the most challenging environments, withstanding severe temperature and vibration conditions common in industrial, land, railway, nav</w:t>
              </w:r>
              <w:r w:rsidR="00586028">
                <w:t>a</w:t>
              </w:r>
              <w:r w:rsidR="00D90E78">
                <w:t>l, oil &amp; gas and construction applications. It achieves a one-year composite repeatability of 1 m</w:t>
              </w:r>
              <w:r w:rsidR="00D90E78">
                <w:rPr>
                  <w:i/>
                </w:rPr>
                <w:t>g</w:t>
              </w:r>
              <w:r w:rsidR="00D90E78">
                <w:t>, and a 600</w:t>
              </w:r>
              <w:r w:rsidR="00586028">
                <w:t> </w:t>
              </w:r>
              <w:r w:rsidR="00D90E78">
                <w:t>ppm composite scale factor repeatability over temperatures ranging from -55 °C to +105 °C</w:t>
              </w:r>
              <w:r w:rsidR="00B838BF">
                <w:t xml:space="preserve"> and under</w:t>
              </w:r>
              <w:r w:rsidR="00D90E78">
                <w:t xml:space="preserve"> 4 </w:t>
              </w:r>
              <w:r w:rsidR="00D90E78">
                <w:rPr>
                  <w:i/>
                </w:rPr>
                <w:t>g</w:t>
              </w:r>
              <w:r w:rsidR="00D90E78">
                <w:t xml:space="preserve"> vibrations</w:t>
              </w:r>
              <w:r w:rsidR="00B838BF">
                <w:t>,</w:t>
              </w:r>
              <w:r w:rsidR="00D90E78">
                <w:t xml:space="preserve"> with an outstanding vibration rejection. Performance is augmented by its superior Allan variance characteristics, with a basis instability of 4 µ</w:t>
              </w:r>
              <w:r w:rsidR="00D90E78">
                <w:rPr>
                  <w:i/>
                </w:rPr>
                <w:t xml:space="preserve">g, </w:t>
              </w:r>
              <w:r w:rsidR="00D90E78">
                <w:t>a velocity random walk of 0.006 m/s/</w:t>
              </w:r>
              <w:r w:rsidR="00D90E78">
                <w:rPr>
                  <w:sz w:val="20"/>
                  <w:szCs w:val="20"/>
                </w:rPr>
                <w:t>√</w:t>
              </w:r>
              <w:r w:rsidR="00D90E78">
                <w:t>h and a very low noise of 15 µ</w:t>
              </w:r>
              <w:r w:rsidR="00D90E78">
                <w:rPr>
                  <w:i/>
                </w:rPr>
                <w:t>g/</w:t>
              </w:r>
              <w:r w:rsidR="00D90E78">
                <w:rPr>
                  <w:sz w:val="20"/>
                  <w:szCs w:val="20"/>
                </w:rPr>
                <w:t>√</w:t>
              </w:r>
              <w:sdt>
                <w:sdtPr>
                  <w:tag w:val="goog_rdk_7"/>
                  <w:id w:val="711464487"/>
                </w:sdtPr>
                <w:sdtEndPr/>
                <w:sdtContent>
                  <w:r w:rsidR="00D90E78" w:rsidRPr="00A81546">
                    <w:t>Hz, thus enabling high resolution and low error.</w:t>
                  </w:r>
                </w:sdtContent>
              </w:sdt>
            </w:sdtContent>
          </w:sdt>
        </w:p>
      </w:sdtContent>
    </w:sdt>
    <w:sdt>
      <w:sdtPr>
        <w:tag w:val="goog_rdk_10"/>
        <w:id w:val="-828286595"/>
      </w:sdtPr>
      <w:sdtEndPr/>
      <w:sdtContent>
        <w:p w:rsidR="00E85751" w:rsidRDefault="008952EF">
          <w:sdt>
            <w:sdtPr>
              <w:tag w:val="goog_rdk_9"/>
              <w:id w:val="-899904281"/>
            </w:sdtPr>
            <w:sdtEndPr/>
            <w:sdtContent/>
          </w:sdt>
        </w:p>
      </w:sdtContent>
    </w:sdt>
    <w:sdt>
      <w:sdtPr>
        <w:tag w:val="goog_rdk_12"/>
        <w:id w:val="-1881083368"/>
      </w:sdtPr>
      <w:sdtEndPr/>
      <w:sdtContent>
        <w:p w:rsidR="00E85751" w:rsidRDefault="008952EF">
          <w:sdt>
            <w:sdtPr>
              <w:tag w:val="goog_rdk_11"/>
              <w:id w:val="1862851372"/>
            </w:sdtPr>
            <w:sdtEndPr/>
            <w:sdtContent>
              <w:r w:rsidR="00D90E78">
                <w:t>Its characteristics enable significant reduction in size, weight and cost of materials for a number of applications. These include: servo inclinometers and dynamic inclinometers in industrial motion control units, Inertial Measurement Units (IMU) and Inertial Navigation Systems (INS) for GNSS-aided positioning, and navigation of manned and unmanned ground vehicles and trains.</w:t>
              </w:r>
            </w:sdtContent>
          </w:sdt>
        </w:p>
      </w:sdtContent>
    </w:sdt>
    <w:sdt>
      <w:sdtPr>
        <w:tag w:val="goog_rdk_15"/>
        <w:id w:val="-1054923491"/>
      </w:sdtPr>
      <w:sdtEndPr/>
      <w:sdtContent>
        <w:sdt>
          <w:sdtPr>
            <w:tag w:val="goog_rdk_14"/>
            <w:id w:val="-497726525"/>
          </w:sdtPr>
          <w:sdtEndPr/>
          <w:sdtContent>
            <w:p w:rsidR="00B838BF" w:rsidRDefault="00B838BF"/>
            <w:p w:rsidR="00A81546" w:rsidRDefault="008952EF"/>
          </w:sdtContent>
        </w:sdt>
      </w:sdtContent>
    </w:sdt>
    <w:p w:rsidR="00E85751" w:rsidRDefault="00D90E78">
      <w:r>
        <w:t>AXO315 features a force-rebalance architecture</w:t>
      </w:r>
      <w:r w:rsidR="00B838BF">
        <w:t>,</w:t>
      </w:r>
      <w:r>
        <w:t xml:space="preserve"> </w:t>
      </w:r>
      <w:sdt>
        <w:sdtPr>
          <w:tag w:val="goog_rdk_16"/>
          <w:id w:val="364185928"/>
        </w:sdtPr>
        <w:sdtEndPr/>
        <w:sdtContent>
          <w:r>
            <w:t xml:space="preserve">a </w:t>
          </w:r>
        </w:sdtContent>
      </w:sdt>
      <w:r>
        <w:t>24-bit digital SPI interface</w:t>
      </w:r>
      <w:r w:rsidR="00B838BF">
        <w:t xml:space="preserve"> and </w:t>
      </w:r>
      <w:r>
        <w:t>an SMD package</w:t>
      </w:r>
      <w:r w:rsidR="00B838BF">
        <w:t>.</w:t>
      </w:r>
      <w:r>
        <w:t xml:space="preserve"> </w:t>
      </w:r>
      <w:sdt>
        <w:sdtPr>
          <w:tag w:val="goog_rdk_18"/>
          <w:id w:val="-1170322636"/>
        </w:sdtPr>
        <w:sdtEndPr/>
        <w:sdtContent>
          <w:r w:rsidR="00B838BF">
            <w:t>I</w:t>
          </w:r>
        </w:sdtContent>
      </w:sdt>
      <w:sdt>
        <w:sdtPr>
          <w:tag w:val="goog_rdk_19"/>
          <w:id w:val="1507947159"/>
        </w:sdtPr>
        <w:sdtEndPr/>
        <w:sdtContent>
          <w:r>
            <w:t>ts</w:t>
          </w:r>
        </w:sdtContent>
      </w:sdt>
      <w:r>
        <w:t xml:space="preserve"> performance </w:t>
      </w:r>
      <w:sdt>
        <w:sdtPr>
          <w:tag w:val="goog_rdk_20"/>
          <w:id w:val="1512258303"/>
        </w:sdtPr>
        <w:sdtEndPr/>
        <w:sdtContent>
          <w:r>
            <w:t xml:space="preserve">is equivalent </w:t>
          </w:r>
        </w:sdtContent>
      </w:sdt>
      <w:r>
        <w:t>to the incumbent analog quartz accelerometers and mechanical inclinometers, but at a fraction of their size, weight, and price</w:t>
      </w:r>
      <w:r w:rsidR="00B838BF">
        <w:t>.</w:t>
      </w:r>
      <w:sdt>
        <w:sdtPr>
          <w:tag w:val="goog_rdk_22"/>
          <w:id w:val="-1571410145"/>
          <w:showingPlcHdr/>
        </w:sdtPr>
        <w:sdtEndPr/>
        <w:sdtContent>
          <w:r w:rsidR="00A81546">
            <w:t xml:space="preserve">     </w:t>
          </w:r>
        </w:sdtContent>
      </w:sdt>
      <w:r w:rsidR="00B838BF">
        <w:t xml:space="preserve"> It also </w:t>
      </w:r>
      <w:r>
        <w:t>outperforms all commercially available MEMS sensors components, and eases integration compared to analog sensors.</w:t>
      </w:r>
      <w:sdt>
        <w:sdtPr>
          <w:tag w:val="goog_rdk_24"/>
          <w:id w:val="1378356437"/>
          <w:showingPlcHdr/>
        </w:sdtPr>
        <w:sdtEndPr/>
        <w:sdtContent>
          <w:r w:rsidR="00A81546">
            <w:t xml:space="preserve">     </w:t>
          </w:r>
        </w:sdtContent>
      </w:sdt>
    </w:p>
    <w:p w:rsidR="00E85751" w:rsidRDefault="00E85751"/>
    <w:p w:rsidR="00E85751" w:rsidRDefault="008952EF">
      <w:sdt>
        <w:sdtPr>
          <w:tag w:val="goog_rdk_35"/>
          <w:id w:val="-1202014857"/>
        </w:sdtPr>
        <w:sdtEndPr/>
        <w:sdtContent>
          <w:r w:rsidR="00D90E78">
            <w:t>This product</w:t>
          </w:r>
        </w:sdtContent>
      </w:sdt>
      <w:r w:rsidR="00D90E78">
        <w:t xml:space="preserve"> complements the existing lineup of the high-performance Tronics GYPRO</w:t>
      </w:r>
      <w:r w:rsidR="00D90E78">
        <w:rPr>
          <w:vertAlign w:val="superscript"/>
        </w:rPr>
        <w:t>®</w:t>
      </w:r>
      <w:r w:rsidR="00D90E78">
        <w:t xml:space="preserve"> digital gyros for high-performance IMUs and INS. It comes in a lightweight 1.4 g hermetic SMD J-lead ceramic package (12 x 12 x 5 mm), enabling low-cost assembly and reliability on PCB, even in fast-changing temperature conditions.</w:t>
      </w:r>
    </w:p>
    <w:p w:rsidR="00E85751" w:rsidRDefault="00E85751"/>
    <w:p w:rsidR="00E85751" w:rsidRDefault="00D90E78">
      <w:r>
        <w:t>The AXO315 accelerometers are manufactured, tested and calibrated at Tronics Microsystems’ facility in Grenoble, France. Evaluation of the sensors can be made through an Arduino-based evaluation kit that is specifically designed to provide developers with improved testing functionalities such as output reading and recording, recalibration and digital self-tests.</w:t>
      </w:r>
    </w:p>
    <w:p w:rsidR="00E85751" w:rsidRDefault="00E85751"/>
    <w:p w:rsidR="00E85751" w:rsidRDefault="00D90E78">
      <w:pPr>
        <w:jc w:val="center"/>
      </w:pPr>
      <w:r>
        <w:t>-----</w:t>
      </w:r>
    </w:p>
    <w:p w:rsidR="00E85751" w:rsidRDefault="00E85751">
      <w:pPr>
        <w:rPr>
          <w:sz w:val="20"/>
          <w:szCs w:val="20"/>
        </w:rPr>
      </w:pPr>
    </w:p>
    <w:p w:rsidR="00E85751" w:rsidRDefault="00D90E78">
      <w:pPr>
        <w:keepNext/>
        <w:pBdr>
          <w:top w:val="nil"/>
          <w:left w:val="nil"/>
          <w:bottom w:val="nil"/>
          <w:right w:val="nil"/>
          <w:between w:val="nil"/>
        </w:pBdr>
        <w:spacing w:after="60"/>
        <w:rPr>
          <w:rFonts w:eastAsia="Arial"/>
          <w:b/>
          <w:sz w:val="20"/>
          <w:szCs w:val="20"/>
        </w:rPr>
      </w:pPr>
      <w:r>
        <w:rPr>
          <w:rFonts w:eastAsia="Arial"/>
          <w:b/>
          <w:sz w:val="20"/>
          <w:szCs w:val="20"/>
        </w:rPr>
        <w:lastRenderedPageBreak/>
        <w:t>Glossary</w:t>
      </w:r>
    </w:p>
    <w:p w:rsidR="00E85751" w:rsidRDefault="00D90E78">
      <w:pPr>
        <w:numPr>
          <w:ilvl w:val="0"/>
          <w:numId w:val="1"/>
        </w:numPr>
        <w:rPr>
          <w:sz w:val="20"/>
          <w:szCs w:val="20"/>
        </w:rPr>
      </w:pPr>
      <w:r>
        <w:rPr>
          <w:sz w:val="20"/>
          <w:szCs w:val="20"/>
        </w:rPr>
        <w:t xml:space="preserve">1-year composite bias repeatability: typical bias error repeatability over 1-year in operation under temperature and vibrations. </w:t>
      </w:r>
    </w:p>
    <w:p w:rsidR="00E85751" w:rsidRDefault="00D90E78">
      <w:pPr>
        <w:numPr>
          <w:ilvl w:val="0"/>
          <w:numId w:val="1"/>
        </w:numPr>
        <w:rPr>
          <w:sz w:val="20"/>
          <w:szCs w:val="20"/>
        </w:rPr>
      </w:pPr>
      <w:r>
        <w:rPr>
          <w:sz w:val="20"/>
          <w:szCs w:val="20"/>
        </w:rPr>
        <w:t xml:space="preserve">1-year composite scale factor repeatability: typical precision over operating temperature during </w:t>
      </w:r>
      <w:r>
        <w:rPr>
          <w:sz w:val="20"/>
          <w:szCs w:val="20"/>
        </w:rPr>
        <w:br/>
        <w:t>1-year in operation.</w:t>
      </w:r>
    </w:p>
    <w:p w:rsidR="00E85751" w:rsidRDefault="00D90E78">
      <w:pPr>
        <w:numPr>
          <w:ilvl w:val="0"/>
          <w:numId w:val="1"/>
        </w:numPr>
        <w:rPr>
          <w:sz w:val="20"/>
          <w:szCs w:val="20"/>
        </w:rPr>
      </w:pPr>
      <w:r>
        <w:rPr>
          <w:sz w:val="20"/>
          <w:szCs w:val="20"/>
        </w:rPr>
        <w:t>Closed-loop / force rebalance: When the sensor is subjected to linear acceleration, the acceleration acts on the proof-mass, which is itself counterbalanced by applying voltages that generate electrostatic forces</w:t>
      </w:r>
      <w:r>
        <w:t xml:space="preserve"> </w:t>
      </w:r>
      <w:r>
        <w:rPr>
          <w:sz w:val="20"/>
          <w:szCs w:val="20"/>
        </w:rPr>
        <w:t>to rebalance the proof mass (closed-loop operation).</w:t>
      </w:r>
      <w:r>
        <w:t xml:space="preserve"> </w:t>
      </w:r>
      <w:r>
        <w:rPr>
          <w:sz w:val="20"/>
          <w:szCs w:val="20"/>
        </w:rPr>
        <w:t>The applied voltage is directly proportional to the input acceleration.</w:t>
      </w:r>
    </w:p>
    <w:p w:rsidR="00E85751" w:rsidRDefault="00E85751">
      <w:pPr>
        <w:rPr>
          <w:sz w:val="20"/>
          <w:szCs w:val="20"/>
        </w:rPr>
      </w:pPr>
    </w:p>
    <w:p w:rsidR="00E85751" w:rsidRDefault="00D90E78">
      <w:pPr>
        <w:keepNext/>
        <w:pBdr>
          <w:top w:val="nil"/>
          <w:left w:val="nil"/>
          <w:bottom w:val="nil"/>
          <w:right w:val="nil"/>
          <w:between w:val="nil"/>
        </w:pBdr>
        <w:spacing w:after="60"/>
        <w:rPr>
          <w:rFonts w:eastAsia="Arial"/>
          <w:b/>
          <w:sz w:val="20"/>
          <w:szCs w:val="20"/>
        </w:rPr>
      </w:pPr>
      <w:r>
        <w:rPr>
          <w:rFonts w:eastAsia="Arial"/>
          <w:b/>
          <w:sz w:val="20"/>
          <w:szCs w:val="20"/>
        </w:rPr>
        <w:t>Main applications</w:t>
      </w:r>
    </w:p>
    <w:p w:rsidR="00E85751" w:rsidRDefault="00D90E78">
      <w:pPr>
        <w:numPr>
          <w:ilvl w:val="0"/>
          <w:numId w:val="1"/>
        </w:numPr>
        <w:rPr>
          <w:sz w:val="20"/>
          <w:szCs w:val="20"/>
        </w:rPr>
      </w:pPr>
      <w:r>
        <w:rPr>
          <w:sz w:val="20"/>
          <w:szCs w:val="20"/>
        </w:rPr>
        <w:t xml:space="preserve">Servo-inclinometer for precise industrial motion and tilt control </w:t>
      </w:r>
    </w:p>
    <w:p w:rsidR="00E85751" w:rsidRDefault="00D90E78">
      <w:pPr>
        <w:numPr>
          <w:ilvl w:val="0"/>
          <w:numId w:val="1"/>
        </w:numPr>
        <w:rPr>
          <w:sz w:val="20"/>
          <w:szCs w:val="20"/>
        </w:rPr>
      </w:pPr>
      <w:r>
        <w:rPr>
          <w:sz w:val="20"/>
          <w:szCs w:val="20"/>
        </w:rPr>
        <w:t xml:space="preserve">IMU and INS for ground and underground vehicles, trains and robots </w:t>
      </w:r>
    </w:p>
    <w:p w:rsidR="00E85751" w:rsidRDefault="00D90E78">
      <w:pPr>
        <w:numPr>
          <w:ilvl w:val="0"/>
          <w:numId w:val="1"/>
        </w:numPr>
        <w:rPr>
          <w:sz w:val="20"/>
          <w:szCs w:val="20"/>
        </w:rPr>
      </w:pPr>
      <w:r>
        <w:rPr>
          <w:sz w:val="20"/>
          <w:szCs w:val="20"/>
        </w:rPr>
        <w:t>Test instrumentation</w:t>
      </w:r>
    </w:p>
    <w:p w:rsidR="00E85751" w:rsidRDefault="00E85751">
      <w:pPr>
        <w:rPr>
          <w:sz w:val="20"/>
          <w:szCs w:val="20"/>
        </w:rPr>
      </w:pPr>
    </w:p>
    <w:p w:rsidR="00E85751" w:rsidRDefault="00D90E78">
      <w:pPr>
        <w:keepNext/>
        <w:pBdr>
          <w:top w:val="nil"/>
          <w:left w:val="nil"/>
          <w:bottom w:val="nil"/>
          <w:right w:val="nil"/>
          <w:between w:val="nil"/>
        </w:pBdr>
        <w:spacing w:after="60"/>
        <w:rPr>
          <w:rFonts w:eastAsia="Arial"/>
          <w:b/>
          <w:sz w:val="20"/>
          <w:szCs w:val="20"/>
        </w:rPr>
      </w:pPr>
      <w:r>
        <w:rPr>
          <w:rFonts w:eastAsia="Arial"/>
          <w:b/>
          <w:sz w:val="20"/>
          <w:szCs w:val="20"/>
        </w:rPr>
        <w:t>Main features and benefits</w:t>
      </w:r>
    </w:p>
    <w:p w:rsidR="00E85751" w:rsidRDefault="00D90E78">
      <w:pPr>
        <w:numPr>
          <w:ilvl w:val="0"/>
          <w:numId w:val="1"/>
        </w:numPr>
        <w:rPr>
          <w:sz w:val="20"/>
          <w:szCs w:val="20"/>
        </w:rPr>
      </w:pPr>
      <w:r>
        <w:rPr>
          <w:sz w:val="20"/>
          <w:szCs w:val="20"/>
        </w:rPr>
        <w:t>High precision and fidelity with 1-year composite bias repeatability of 1 m</w:t>
      </w:r>
      <w:r>
        <w:rPr>
          <w:i/>
          <w:sz w:val="20"/>
          <w:szCs w:val="20"/>
        </w:rPr>
        <w:t>g</w:t>
      </w:r>
      <w:r>
        <w:rPr>
          <w:sz w:val="20"/>
          <w:szCs w:val="20"/>
        </w:rPr>
        <w:t xml:space="preserve"> and a 600 ppm composite scale factor repeatability over temperature and vibrations (-55 °C to +105 °C, &gt;4 </w:t>
      </w:r>
      <w:r>
        <w:rPr>
          <w:i/>
          <w:sz w:val="20"/>
          <w:szCs w:val="20"/>
        </w:rPr>
        <w:t>g </w:t>
      </w:r>
      <w:r>
        <w:rPr>
          <w:sz w:val="20"/>
          <w:szCs w:val="20"/>
        </w:rPr>
        <w:t>rms vibration), making it compatible with demanding applications such as train and vehicle localization,  heavy-industry and construction machines positioning and motion control, as well as test instrumentation.</w:t>
      </w:r>
    </w:p>
    <w:p w:rsidR="00E85751" w:rsidRDefault="00D90E78">
      <w:pPr>
        <w:numPr>
          <w:ilvl w:val="0"/>
          <w:numId w:val="1"/>
        </w:numPr>
        <w:rPr>
          <w:sz w:val="20"/>
          <w:szCs w:val="20"/>
        </w:rPr>
      </w:pPr>
      <w:r>
        <w:rPr>
          <w:sz w:val="20"/>
          <w:szCs w:val="20"/>
        </w:rPr>
        <w:t>Force-rebalance closed-loop MEMS accelerometer with quartz sensors -equivalent performances at a fraction of their size (&lt;0.8 cm</w:t>
      </w:r>
      <w:r>
        <w:rPr>
          <w:sz w:val="20"/>
          <w:szCs w:val="20"/>
          <w:vertAlign w:val="superscript"/>
        </w:rPr>
        <w:t>3</w:t>
      </w:r>
      <w:r>
        <w:rPr>
          <w:sz w:val="20"/>
          <w:szCs w:val="20"/>
        </w:rPr>
        <w:t xml:space="preserve"> vs &lt;10 cm</w:t>
      </w:r>
      <w:r>
        <w:rPr>
          <w:sz w:val="20"/>
          <w:szCs w:val="20"/>
          <w:vertAlign w:val="superscript"/>
        </w:rPr>
        <w:t>3</w:t>
      </w:r>
      <w:r>
        <w:rPr>
          <w:sz w:val="20"/>
          <w:szCs w:val="20"/>
        </w:rPr>
        <w:t>), weight (&lt;1.4 g vs 50 g) and price (2-3 times cheaper).</w:t>
      </w:r>
    </w:p>
    <w:p w:rsidR="00E85751" w:rsidRDefault="00D90E78">
      <w:pPr>
        <w:numPr>
          <w:ilvl w:val="0"/>
          <w:numId w:val="1"/>
        </w:numPr>
        <w:rPr>
          <w:sz w:val="20"/>
          <w:szCs w:val="20"/>
        </w:rPr>
      </w:pPr>
      <w:r>
        <w:rPr>
          <w:sz w:val="20"/>
          <w:szCs w:val="20"/>
        </w:rPr>
        <w:t>SMD component with digital SPI interface reducing the cost of integration and BOM: standard SMT assembly on FR4 board, no ADC required and easier system calibration.</w:t>
      </w:r>
    </w:p>
    <w:p w:rsidR="00E85751" w:rsidRDefault="00D90E78">
      <w:pPr>
        <w:numPr>
          <w:ilvl w:val="0"/>
          <w:numId w:val="1"/>
        </w:numPr>
        <w:rPr>
          <w:sz w:val="20"/>
          <w:szCs w:val="20"/>
        </w:rPr>
      </w:pPr>
      <w:r>
        <w:rPr>
          <w:sz w:val="20"/>
          <w:szCs w:val="20"/>
        </w:rPr>
        <w:t>Non classified under dual use applications enabling civil and security usage without export license.</w:t>
      </w:r>
    </w:p>
    <w:p w:rsidR="00E85751" w:rsidRDefault="00E85751">
      <w:pPr>
        <w:rPr>
          <w:sz w:val="20"/>
          <w:szCs w:val="20"/>
        </w:rPr>
      </w:pPr>
    </w:p>
    <w:p w:rsidR="00E85751" w:rsidRDefault="00D90E78">
      <w:pPr>
        <w:keepNext/>
        <w:pBdr>
          <w:top w:val="nil"/>
          <w:left w:val="nil"/>
          <w:bottom w:val="nil"/>
          <w:right w:val="nil"/>
          <w:between w:val="nil"/>
        </w:pBdr>
        <w:spacing w:after="60"/>
        <w:rPr>
          <w:rFonts w:eastAsia="Arial"/>
          <w:b/>
          <w:sz w:val="20"/>
          <w:szCs w:val="20"/>
        </w:rPr>
      </w:pPr>
      <w:r>
        <w:rPr>
          <w:rFonts w:eastAsia="Arial"/>
          <w:b/>
          <w:sz w:val="20"/>
          <w:szCs w:val="20"/>
        </w:rPr>
        <w:t xml:space="preserve">Key data </w:t>
      </w:r>
    </w:p>
    <w:tbl>
      <w:tblPr>
        <w:tblStyle w:val="a"/>
        <w:tblW w:w="7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133"/>
        <w:gridCol w:w="1639"/>
      </w:tblGrid>
      <w:tr w:rsidR="00E85751">
        <w:tc>
          <w:tcPr>
            <w:tcW w:w="453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85751" w:rsidRDefault="00D90E78">
            <w:pPr>
              <w:rPr>
                <w:b/>
                <w:sz w:val="20"/>
                <w:szCs w:val="20"/>
              </w:rPr>
            </w:pPr>
            <w:r>
              <w:rPr>
                <w:b/>
                <w:sz w:val="20"/>
                <w:szCs w:val="20"/>
              </w:rPr>
              <w:t>AXO315 performance</w:t>
            </w:r>
          </w:p>
        </w:tc>
        <w:tc>
          <w:tcPr>
            <w:tcW w:w="113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85751" w:rsidRDefault="00D90E78">
            <w:pPr>
              <w:jc w:val="center"/>
              <w:rPr>
                <w:b/>
                <w:sz w:val="20"/>
                <w:szCs w:val="20"/>
              </w:rPr>
            </w:pPr>
            <w:r>
              <w:rPr>
                <w:b/>
                <w:sz w:val="20"/>
                <w:szCs w:val="20"/>
              </w:rPr>
              <w:t>Unit</w:t>
            </w:r>
          </w:p>
        </w:tc>
        <w:tc>
          <w:tcPr>
            <w:tcW w:w="163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E85751" w:rsidRDefault="00D90E78">
            <w:pPr>
              <w:jc w:val="center"/>
              <w:rPr>
                <w:b/>
                <w:sz w:val="20"/>
                <w:szCs w:val="20"/>
              </w:rPr>
            </w:pPr>
            <w:r>
              <w:rPr>
                <w:b/>
                <w:sz w:val="20"/>
                <w:szCs w:val="20"/>
              </w:rPr>
              <w:t>Typical values</w:t>
            </w:r>
          </w:p>
        </w:tc>
      </w:tr>
      <w:tr w:rsidR="00E85751">
        <w:trPr>
          <w:trHeight w:val="284"/>
        </w:trPr>
        <w:tc>
          <w:tcPr>
            <w:tcW w:w="4531" w:type="dxa"/>
            <w:shd w:val="clear" w:color="auto" w:fill="auto"/>
          </w:tcPr>
          <w:p w:rsidR="00E85751" w:rsidRDefault="00D90E78">
            <w:pPr>
              <w:rPr>
                <w:sz w:val="20"/>
                <w:szCs w:val="20"/>
              </w:rPr>
            </w:pPr>
            <w:r>
              <w:rPr>
                <w:sz w:val="20"/>
                <w:szCs w:val="20"/>
              </w:rPr>
              <w:t>Input range</w:t>
            </w:r>
          </w:p>
        </w:tc>
        <w:tc>
          <w:tcPr>
            <w:tcW w:w="1133" w:type="dxa"/>
            <w:shd w:val="clear" w:color="auto" w:fill="auto"/>
          </w:tcPr>
          <w:p w:rsidR="00E85751" w:rsidRDefault="00D90E78">
            <w:pPr>
              <w:jc w:val="center"/>
              <w:rPr>
                <w:i/>
                <w:sz w:val="20"/>
                <w:szCs w:val="20"/>
              </w:rPr>
            </w:pPr>
            <w:r>
              <w:rPr>
                <w:i/>
                <w:sz w:val="20"/>
                <w:szCs w:val="20"/>
              </w:rPr>
              <w:t>g</w:t>
            </w:r>
          </w:p>
        </w:tc>
        <w:tc>
          <w:tcPr>
            <w:tcW w:w="1639" w:type="dxa"/>
            <w:shd w:val="clear" w:color="auto" w:fill="auto"/>
          </w:tcPr>
          <w:p w:rsidR="00E85751" w:rsidRDefault="00D90E78">
            <w:pPr>
              <w:jc w:val="center"/>
              <w:rPr>
                <w:sz w:val="20"/>
                <w:szCs w:val="20"/>
              </w:rPr>
            </w:pPr>
            <w:r>
              <w:rPr>
                <w:sz w:val="20"/>
                <w:szCs w:val="20"/>
              </w:rPr>
              <w:t>±14</w:t>
            </w:r>
          </w:p>
        </w:tc>
      </w:tr>
      <w:tr w:rsidR="00E85751">
        <w:trPr>
          <w:trHeight w:val="284"/>
        </w:trPr>
        <w:tc>
          <w:tcPr>
            <w:tcW w:w="4531" w:type="dxa"/>
            <w:shd w:val="clear" w:color="auto" w:fill="auto"/>
          </w:tcPr>
          <w:p w:rsidR="00E85751" w:rsidRDefault="00D90E78">
            <w:pPr>
              <w:rPr>
                <w:sz w:val="20"/>
                <w:szCs w:val="20"/>
              </w:rPr>
            </w:pPr>
            <w:r>
              <w:rPr>
                <w:sz w:val="20"/>
                <w:szCs w:val="20"/>
              </w:rPr>
              <w:t>Operating temperature range</w:t>
            </w:r>
          </w:p>
        </w:tc>
        <w:tc>
          <w:tcPr>
            <w:tcW w:w="1133" w:type="dxa"/>
            <w:shd w:val="clear" w:color="auto" w:fill="auto"/>
          </w:tcPr>
          <w:p w:rsidR="00E85751" w:rsidRDefault="00D90E78">
            <w:pPr>
              <w:jc w:val="center"/>
              <w:rPr>
                <w:sz w:val="20"/>
                <w:szCs w:val="20"/>
              </w:rPr>
            </w:pPr>
            <w:r>
              <w:rPr>
                <w:sz w:val="20"/>
                <w:szCs w:val="20"/>
              </w:rPr>
              <w:t>°C</w:t>
            </w:r>
          </w:p>
        </w:tc>
        <w:tc>
          <w:tcPr>
            <w:tcW w:w="1639" w:type="dxa"/>
            <w:shd w:val="clear" w:color="auto" w:fill="auto"/>
          </w:tcPr>
          <w:p w:rsidR="00E85751" w:rsidRDefault="00D90E78">
            <w:pPr>
              <w:jc w:val="center"/>
              <w:rPr>
                <w:sz w:val="20"/>
                <w:szCs w:val="20"/>
              </w:rPr>
            </w:pPr>
            <w:r>
              <w:rPr>
                <w:sz w:val="20"/>
                <w:szCs w:val="20"/>
              </w:rPr>
              <w:t>-55 to +105</w:t>
            </w:r>
          </w:p>
        </w:tc>
      </w:tr>
      <w:tr w:rsidR="00E85751">
        <w:trPr>
          <w:trHeight w:val="284"/>
        </w:trPr>
        <w:tc>
          <w:tcPr>
            <w:tcW w:w="4531" w:type="dxa"/>
            <w:shd w:val="clear" w:color="auto" w:fill="auto"/>
          </w:tcPr>
          <w:p w:rsidR="00E85751" w:rsidRDefault="00D90E78">
            <w:pPr>
              <w:rPr>
                <w:sz w:val="20"/>
                <w:szCs w:val="20"/>
              </w:rPr>
            </w:pPr>
            <w:r>
              <w:rPr>
                <w:sz w:val="20"/>
                <w:szCs w:val="20"/>
              </w:rPr>
              <w:t>1 year composite bias repeatability</w:t>
            </w:r>
          </w:p>
        </w:tc>
        <w:tc>
          <w:tcPr>
            <w:tcW w:w="1133" w:type="dxa"/>
            <w:shd w:val="clear" w:color="auto" w:fill="auto"/>
          </w:tcPr>
          <w:p w:rsidR="00E85751" w:rsidRDefault="00D90E78">
            <w:pPr>
              <w:jc w:val="center"/>
              <w:rPr>
                <w:sz w:val="20"/>
                <w:szCs w:val="20"/>
              </w:rPr>
            </w:pPr>
            <w:r>
              <w:rPr>
                <w:sz w:val="20"/>
                <w:szCs w:val="20"/>
              </w:rPr>
              <w:t>m</w:t>
            </w:r>
            <w:r>
              <w:rPr>
                <w:i/>
                <w:sz w:val="20"/>
                <w:szCs w:val="20"/>
              </w:rPr>
              <w:t>g</w:t>
            </w:r>
          </w:p>
        </w:tc>
        <w:tc>
          <w:tcPr>
            <w:tcW w:w="1639" w:type="dxa"/>
            <w:shd w:val="clear" w:color="auto" w:fill="auto"/>
          </w:tcPr>
          <w:p w:rsidR="00E85751" w:rsidRDefault="00D90E78">
            <w:pPr>
              <w:jc w:val="center"/>
              <w:rPr>
                <w:sz w:val="20"/>
                <w:szCs w:val="20"/>
              </w:rPr>
            </w:pPr>
            <w:r>
              <w:rPr>
                <w:sz w:val="20"/>
                <w:szCs w:val="20"/>
              </w:rPr>
              <w:t>1</w:t>
            </w:r>
          </w:p>
        </w:tc>
      </w:tr>
      <w:tr w:rsidR="00E85751">
        <w:trPr>
          <w:trHeight w:val="284"/>
        </w:trPr>
        <w:tc>
          <w:tcPr>
            <w:tcW w:w="4531" w:type="dxa"/>
            <w:shd w:val="clear" w:color="auto" w:fill="auto"/>
          </w:tcPr>
          <w:p w:rsidR="00E85751" w:rsidRDefault="00D90E78">
            <w:pPr>
              <w:rPr>
                <w:sz w:val="20"/>
                <w:szCs w:val="20"/>
              </w:rPr>
            </w:pPr>
            <w:r>
              <w:rPr>
                <w:sz w:val="20"/>
                <w:szCs w:val="20"/>
              </w:rPr>
              <w:t>Vibration Rectification Error</w:t>
            </w:r>
          </w:p>
        </w:tc>
        <w:tc>
          <w:tcPr>
            <w:tcW w:w="1133" w:type="dxa"/>
            <w:shd w:val="clear" w:color="auto" w:fill="auto"/>
          </w:tcPr>
          <w:p w:rsidR="00E85751" w:rsidRDefault="00D90E78">
            <w:pPr>
              <w:jc w:val="center"/>
              <w:rPr>
                <w:sz w:val="20"/>
                <w:szCs w:val="20"/>
              </w:rPr>
            </w:pPr>
            <w:r>
              <w:rPr>
                <w:sz w:val="20"/>
                <w:szCs w:val="20"/>
              </w:rPr>
              <w:t>µ</w:t>
            </w:r>
            <w:r>
              <w:rPr>
                <w:i/>
                <w:sz w:val="20"/>
                <w:szCs w:val="20"/>
              </w:rPr>
              <w:t>g</w:t>
            </w:r>
            <w:r>
              <w:rPr>
                <w:sz w:val="20"/>
                <w:szCs w:val="20"/>
              </w:rPr>
              <w:t>/</w:t>
            </w:r>
            <w:r>
              <w:rPr>
                <w:i/>
                <w:sz w:val="20"/>
                <w:szCs w:val="20"/>
              </w:rPr>
              <w:t>g</w:t>
            </w:r>
            <w:r>
              <w:rPr>
                <w:sz w:val="20"/>
                <w:szCs w:val="20"/>
              </w:rPr>
              <w:t>²</w:t>
            </w:r>
          </w:p>
        </w:tc>
        <w:tc>
          <w:tcPr>
            <w:tcW w:w="1639" w:type="dxa"/>
            <w:shd w:val="clear" w:color="auto" w:fill="auto"/>
          </w:tcPr>
          <w:p w:rsidR="00E85751" w:rsidRDefault="00D90E78">
            <w:pPr>
              <w:jc w:val="center"/>
              <w:rPr>
                <w:sz w:val="20"/>
                <w:szCs w:val="20"/>
              </w:rPr>
            </w:pPr>
            <w:r>
              <w:rPr>
                <w:sz w:val="20"/>
                <w:szCs w:val="20"/>
              </w:rPr>
              <w:t>20</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Bias instability (Allan variance)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µ</w:t>
            </w:r>
            <w:r>
              <w:rPr>
                <w:i/>
                <w:sz w:val="20"/>
                <w:szCs w:val="20"/>
              </w:rPr>
              <w:t>g</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4</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Velocity Random Walk (Allan variance)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8952EF">
            <w:pPr>
              <w:jc w:val="center"/>
              <w:rPr>
                <w:sz w:val="20"/>
                <w:szCs w:val="20"/>
              </w:rPr>
            </w:pPr>
            <w:sdt>
              <w:sdtPr>
                <w:tag w:val="goog_rdk_36"/>
                <w:id w:val="102924149"/>
              </w:sdtPr>
              <w:sdtEndPr/>
              <w:sdtContent>
                <w:r w:rsidR="00D90E78">
                  <w:rPr>
                    <w:rFonts w:ascii="Arial Unicode MS" w:hAnsi="Arial Unicode MS" w:cs="Arial Unicode MS"/>
                    <w:sz w:val="20"/>
                    <w:szCs w:val="20"/>
                  </w:rPr>
                  <w:t>m/s/√h</w:t>
                </w:r>
              </w:sdtContent>
            </w:sdt>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0.006</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Noise density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µ</w:t>
            </w:r>
            <w:r>
              <w:rPr>
                <w:i/>
                <w:sz w:val="20"/>
                <w:szCs w:val="20"/>
              </w:rPr>
              <w:t>g</w:t>
            </w:r>
            <w:sdt>
              <w:sdtPr>
                <w:tag w:val="goog_rdk_37"/>
                <w:id w:val="318856911"/>
              </w:sdtPr>
              <w:sdtEndPr/>
              <w:sdtContent>
                <w:r>
                  <w:rPr>
                    <w:rFonts w:ascii="Arial Unicode MS" w:hAnsi="Arial Unicode MS" w:cs="Arial Unicode MS"/>
                    <w:sz w:val="20"/>
                    <w:szCs w:val="20"/>
                  </w:rPr>
                  <w:t>/√Hz</w:t>
                </w:r>
              </w:sdtContent>
            </w:sdt>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15</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1 year composite scale factor repeatability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ppm</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600</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Scale factor non linearity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ppm</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100</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Bandwidth</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Hz</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&gt;300</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Data rate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Hz</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2500</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Power supply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V</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5</w:t>
            </w:r>
          </w:p>
        </w:tc>
      </w:tr>
      <w:tr w:rsidR="00E85751">
        <w:trPr>
          <w:trHeight w:val="284"/>
        </w:trPr>
        <w:tc>
          <w:tcPr>
            <w:tcW w:w="4531"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rPr>
                <w:sz w:val="20"/>
                <w:szCs w:val="20"/>
              </w:rPr>
            </w:pPr>
            <w:r>
              <w:rPr>
                <w:sz w:val="20"/>
                <w:szCs w:val="20"/>
              </w:rPr>
              <w:t>Size (l x w x h)</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mm</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E85751" w:rsidRDefault="00D90E78">
            <w:pPr>
              <w:jc w:val="center"/>
              <w:rPr>
                <w:sz w:val="20"/>
                <w:szCs w:val="20"/>
              </w:rPr>
            </w:pPr>
            <w:r>
              <w:rPr>
                <w:sz w:val="20"/>
                <w:szCs w:val="20"/>
              </w:rPr>
              <w:t>12 x 12 x 5.5</w:t>
            </w:r>
          </w:p>
        </w:tc>
      </w:tr>
    </w:tbl>
    <w:p w:rsidR="00E85751" w:rsidRDefault="00E85751">
      <w:pPr>
        <w:rPr>
          <w:sz w:val="20"/>
          <w:szCs w:val="20"/>
        </w:rPr>
      </w:pPr>
    </w:p>
    <w:p w:rsidR="00E85751" w:rsidRDefault="00D90E78">
      <w:pPr>
        <w:jc w:val="center"/>
      </w:pPr>
      <w:r>
        <w:t>-----</w:t>
      </w:r>
    </w:p>
    <w:p w:rsidR="00E85751" w:rsidRDefault="00E85751">
      <w:pPr>
        <w:tabs>
          <w:tab w:val="left" w:pos="3000"/>
        </w:tabs>
        <w:rPr>
          <w:sz w:val="20"/>
          <w:szCs w:val="20"/>
        </w:rPr>
      </w:pPr>
    </w:p>
    <w:p w:rsidR="00E85751" w:rsidRDefault="00E85751">
      <w:pPr>
        <w:tabs>
          <w:tab w:val="left" w:pos="3000"/>
        </w:tabs>
        <w:rPr>
          <w:sz w:val="20"/>
          <w:szCs w:val="20"/>
        </w:rPr>
      </w:pPr>
    </w:p>
    <w:p w:rsidR="00E85751" w:rsidRDefault="00E85751">
      <w:pPr>
        <w:tabs>
          <w:tab w:val="left" w:pos="3000"/>
        </w:tabs>
        <w:rPr>
          <w:sz w:val="20"/>
          <w:szCs w:val="20"/>
        </w:rPr>
      </w:pPr>
    </w:p>
    <w:p w:rsidR="00E85751" w:rsidRDefault="00E85751">
      <w:pPr>
        <w:tabs>
          <w:tab w:val="left" w:pos="3000"/>
        </w:tabs>
        <w:rPr>
          <w:sz w:val="20"/>
          <w:szCs w:val="20"/>
        </w:rPr>
      </w:pPr>
    </w:p>
    <w:p w:rsidR="00E85751" w:rsidRDefault="00E85751">
      <w:pPr>
        <w:tabs>
          <w:tab w:val="left" w:pos="3000"/>
        </w:tabs>
        <w:rPr>
          <w:sz w:val="20"/>
          <w:szCs w:val="20"/>
        </w:rPr>
      </w:pPr>
    </w:p>
    <w:p w:rsidR="00E85751" w:rsidRDefault="00E85751">
      <w:pPr>
        <w:tabs>
          <w:tab w:val="left" w:pos="3000"/>
        </w:tabs>
        <w:rPr>
          <w:sz w:val="20"/>
          <w:szCs w:val="20"/>
        </w:rPr>
      </w:pPr>
    </w:p>
    <w:p w:rsidR="00E85751" w:rsidRDefault="00D90E78">
      <w:pPr>
        <w:keepNext/>
        <w:pBdr>
          <w:top w:val="nil"/>
          <w:left w:val="nil"/>
          <w:bottom w:val="nil"/>
          <w:right w:val="nil"/>
          <w:between w:val="nil"/>
        </w:pBdr>
        <w:spacing w:after="60"/>
        <w:rPr>
          <w:rFonts w:eastAsia="Arial"/>
          <w:b/>
          <w:sz w:val="20"/>
          <w:szCs w:val="20"/>
        </w:rPr>
      </w:pPr>
      <w:r>
        <w:rPr>
          <w:rFonts w:eastAsia="Arial"/>
          <w:b/>
          <w:sz w:val="20"/>
          <w:szCs w:val="20"/>
        </w:rPr>
        <w:lastRenderedPageBreak/>
        <w:t>About TDK Corporation</w:t>
      </w:r>
    </w:p>
    <w:p w:rsidR="00E85751" w:rsidRDefault="00D90E78">
      <w:pPr>
        <w:tabs>
          <w:tab w:val="left" w:pos="3000"/>
        </w:tabs>
        <w:rPr>
          <w:sz w:val="20"/>
          <w:szCs w:val="20"/>
        </w:rPr>
      </w:pPr>
      <w:r>
        <w:rPr>
          <w:sz w:val="20"/>
          <w:szCs w:val="20"/>
        </w:rPr>
        <w:t>TDK Corporation is a world leader in electronic solutions for the smart society based in Tokyo, Japan. Built on a foundation of material sciences mastery, TDK welcomes societal transformation by resolutely remaining at the forefront of technological evolution and deliberately “Attracting Tomorrow.” It was established in 1935 to commercialize ferrite, a key material in electronic and magnetic products. TDK's comprehensive, innovation-driven portfolio features passive components such as ceramic, aluminum electrolytic and film capacitors, as well as magnetics, high-frequency, and piezo and protection devices. The product spectrum also includes sensors and sensor systems such as temperature and pressure, magnetic, and MEMS sensors. In addition, TDK provides power supplies and energy devices, magnetic heads and more. These products are marketed under the product brands TDK, EPCOS, InvenSense, Micronas, Tronics and TDK-Lambda. TDK focuses on demanding markets in automotive, industrial and consumer electronics, and information and communication technology. The company has a network of design and manufacturing locations and sales offices in Asia, Europe, and in North and South America. In fiscal 2021, TDK posted total sales of USD 13.3 billion and employed about 129,000 people worldwide.</w:t>
      </w:r>
    </w:p>
    <w:p w:rsidR="00E85751" w:rsidRDefault="00E85751">
      <w:pPr>
        <w:tabs>
          <w:tab w:val="left" w:pos="3000"/>
        </w:tabs>
        <w:rPr>
          <w:sz w:val="20"/>
          <w:szCs w:val="20"/>
        </w:rPr>
      </w:pPr>
    </w:p>
    <w:p w:rsidR="00E85751" w:rsidRDefault="00D90E78">
      <w:pPr>
        <w:keepNext/>
        <w:pBdr>
          <w:top w:val="nil"/>
          <w:left w:val="nil"/>
          <w:bottom w:val="nil"/>
          <w:right w:val="nil"/>
          <w:between w:val="nil"/>
        </w:pBdr>
        <w:spacing w:after="60"/>
        <w:rPr>
          <w:rFonts w:eastAsia="Arial"/>
          <w:b/>
          <w:sz w:val="20"/>
          <w:szCs w:val="20"/>
        </w:rPr>
      </w:pPr>
      <w:r>
        <w:rPr>
          <w:rFonts w:eastAsia="Arial"/>
          <w:b/>
          <w:sz w:val="20"/>
          <w:szCs w:val="20"/>
        </w:rPr>
        <w:t>About Tronics Microsystems</w:t>
      </w:r>
    </w:p>
    <w:p w:rsidR="00E85751" w:rsidRDefault="00D90E78">
      <w:pPr>
        <w:tabs>
          <w:tab w:val="left" w:pos="3000"/>
        </w:tabs>
        <w:rPr>
          <w:sz w:val="20"/>
          <w:szCs w:val="20"/>
        </w:rPr>
      </w:pPr>
      <w:r>
        <w:rPr>
          <w:sz w:val="20"/>
          <w:szCs w:val="20"/>
        </w:rPr>
        <w:t>Tronics Microsystems SA is a division of TDK’s Temperature &amp; Pressure Sensors Business Group that manufactures custom MEMS products and standard inertial sensors. Addressing high-growth markets relying on increasing miniaturization of electronic devices, the company provides custom and standard products especially to the industrial, aeronautics, security, and medical markets. Founded in 1997, Tronics is located in Crolles, near Grenoble (France) and in Dallas, Texas (United States), and has around 100 employees, most of them engineers and scientists. Following a tender offer ending January 2017, TDK Electronics AG (formerly EPCOS AG) now holds 74 percent of Tronics’ shares.</w:t>
      </w:r>
    </w:p>
    <w:p w:rsidR="00E85751" w:rsidRDefault="00E85751">
      <w:pPr>
        <w:rPr>
          <w:sz w:val="20"/>
          <w:szCs w:val="20"/>
        </w:rPr>
      </w:pPr>
    </w:p>
    <w:p w:rsidR="00E85751" w:rsidRDefault="00D90E78">
      <w:pPr>
        <w:jc w:val="center"/>
      </w:pPr>
      <w:r>
        <w:t>-----</w:t>
      </w:r>
    </w:p>
    <w:p w:rsidR="00E85751" w:rsidRDefault="00E85751">
      <w:pPr>
        <w:tabs>
          <w:tab w:val="left" w:pos="3000"/>
        </w:tabs>
        <w:rPr>
          <w:sz w:val="20"/>
          <w:szCs w:val="20"/>
        </w:rPr>
      </w:pPr>
    </w:p>
    <w:p w:rsidR="00E85751" w:rsidRDefault="00D90E78">
      <w:pPr>
        <w:spacing w:after="60"/>
      </w:pPr>
      <w:r>
        <w:rPr>
          <w:sz w:val="20"/>
          <w:szCs w:val="20"/>
        </w:rPr>
        <w:t xml:space="preserve">You can download this text and associated images from </w:t>
      </w:r>
    </w:p>
    <w:p w:rsidR="00E85751" w:rsidRDefault="00D90E78">
      <w:pPr>
        <w:spacing w:after="60"/>
        <w:rPr>
          <w:sz w:val="20"/>
          <w:szCs w:val="20"/>
        </w:rPr>
      </w:pPr>
      <w:r>
        <w:rPr>
          <w:color w:val="0000FF"/>
          <w:sz w:val="20"/>
          <w:szCs w:val="20"/>
          <w:highlight w:val="yellow"/>
          <w:u w:val="single"/>
        </w:rPr>
        <w:t>www.tdk-electronics.tdk.com/en/201214</w:t>
      </w:r>
    </w:p>
    <w:p w:rsidR="00E85751" w:rsidRDefault="00D90E78">
      <w:pPr>
        <w:spacing w:after="60"/>
        <w:rPr>
          <w:sz w:val="20"/>
          <w:szCs w:val="20"/>
        </w:rPr>
      </w:pPr>
      <w:r>
        <w:rPr>
          <w:sz w:val="20"/>
          <w:szCs w:val="20"/>
        </w:rPr>
        <w:t xml:space="preserve">Further information on the products can be found under </w:t>
      </w:r>
      <w:hyperlink r:id="rId8" w:history="1">
        <w:r w:rsidR="00A81546" w:rsidRPr="00A81546">
          <w:rPr>
            <w:color w:val="0000FF"/>
            <w:u w:val="single"/>
          </w:rPr>
          <w:t>AXO dynamic force rebalance digital SMD MEMS accelerometer – TDK Tronics</w:t>
        </w:r>
      </w:hyperlink>
      <w:r>
        <w:t xml:space="preserve"> </w:t>
      </w:r>
    </w:p>
    <w:p w:rsidR="00E85751" w:rsidRDefault="00D90E78">
      <w:pPr>
        <w:rPr>
          <w:sz w:val="20"/>
          <w:szCs w:val="20"/>
        </w:rPr>
      </w:pPr>
      <w:r>
        <w:rPr>
          <w:sz w:val="20"/>
          <w:szCs w:val="20"/>
        </w:rPr>
        <w:t xml:space="preserve">Please forward reader inquiries to </w:t>
      </w:r>
      <w:hyperlink r:id="rId9">
        <w:r>
          <w:rPr>
            <w:rFonts w:eastAsia="Arial"/>
            <w:color w:val="0000FF"/>
            <w:sz w:val="20"/>
            <w:szCs w:val="20"/>
            <w:u w:val="single"/>
          </w:rPr>
          <w:t>info@tronicsgroup.com</w:t>
        </w:r>
      </w:hyperlink>
      <w:r>
        <w:rPr>
          <w:color w:val="0000FF"/>
          <w:sz w:val="20"/>
          <w:szCs w:val="20"/>
          <w:u w:val="single"/>
        </w:rPr>
        <w:t xml:space="preserve"> </w:t>
      </w:r>
    </w:p>
    <w:p w:rsidR="00E85751" w:rsidRDefault="00E85751">
      <w:pPr>
        <w:tabs>
          <w:tab w:val="left" w:pos="3000"/>
        </w:tabs>
        <w:rPr>
          <w:sz w:val="20"/>
          <w:szCs w:val="20"/>
        </w:rPr>
      </w:pPr>
    </w:p>
    <w:p w:rsidR="00E85751" w:rsidRDefault="00E85751">
      <w:pPr>
        <w:tabs>
          <w:tab w:val="left" w:pos="3000"/>
        </w:tabs>
        <w:rPr>
          <w:sz w:val="20"/>
          <w:szCs w:val="20"/>
        </w:rPr>
      </w:pPr>
    </w:p>
    <w:p w:rsidR="00E85751" w:rsidRDefault="00D90E78">
      <w:pPr>
        <w:jc w:val="center"/>
      </w:pPr>
      <w:r>
        <w:t>-----</w:t>
      </w:r>
    </w:p>
    <w:p w:rsidR="00E85751" w:rsidRDefault="00E85751">
      <w:pPr>
        <w:tabs>
          <w:tab w:val="left" w:pos="3000"/>
        </w:tabs>
        <w:rPr>
          <w:sz w:val="20"/>
          <w:szCs w:val="20"/>
        </w:rPr>
      </w:pPr>
    </w:p>
    <w:p w:rsidR="00E85751" w:rsidRDefault="00D90E78">
      <w:pPr>
        <w:keepNext/>
        <w:spacing w:after="60"/>
        <w:rPr>
          <w:b/>
          <w:sz w:val="20"/>
          <w:szCs w:val="20"/>
        </w:rPr>
      </w:pPr>
      <w:r>
        <w:rPr>
          <w:b/>
          <w:sz w:val="20"/>
          <w:szCs w:val="20"/>
        </w:rPr>
        <w:t>Contacts for media</w:t>
      </w:r>
    </w:p>
    <w:tbl>
      <w:tblPr>
        <w:tblStyle w:val="a0"/>
        <w:tblW w:w="8193" w:type="dxa"/>
        <w:tblLayout w:type="fixed"/>
        <w:tblLook w:val="0000" w:firstRow="0" w:lastRow="0" w:firstColumn="0" w:lastColumn="0" w:noHBand="0" w:noVBand="0"/>
      </w:tblPr>
      <w:tblGrid>
        <w:gridCol w:w="1899"/>
        <w:gridCol w:w="2115"/>
        <w:gridCol w:w="1617"/>
        <w:gridCol w:w="2562"/>
      </w:tblGrid>
      <w:tr w:rsidR="00E85751">
        <w:tc>
          <w:tcPr>
            <w:tcW w:w="1899" w:type="dxa"/>
            <w:tcBorders>
              <w:top w:val="single" w:sz="4" w:space="0" w:color="999999"/>
              <w:left w:val="single" w:sz="4" w:space="0" w:color="999999"/>
              <w:bottom w:val="single" w:sz="4" w:space="0" w:color="999999"/>
            </w:tcBorders>
            <w:shd w:val="clear" w:color="auto" w:fill="D9D9D9"/>
          </w:tcPr>
          <w:p w:rsidR="00E85751" w:rsidRDefault="00D90E78">
            <w:pPr>
              <w:rPr>
                <w:b/>
                <w:sz w:val="17"/>
                <w:szCs w:val="17"/>
              </w:rPr>
            </w:pPr>
            <w:r>
              <w:rPr>
                <w:b/>
                <w:sz w:val="17"/>
                <w:szCs w:val="17"/>
              </w:rPr>
              <w:t>Contact</w:t>
            </w:r>
          </w:p>
        </w:tc>
        <w:tc>
          <w:tcPr>
            <w:tcW w:w="2115" w:type="dxa"/>
            <w:tcBorders>
              <w:top w:val="single" w:sz="4" w:space="0" w:color="999999"/>
              <w:bottom w:val="single" w:sz="4" w:space="0" w:color="999999"/>
              <w:right w:val="single" w:sz="4" w:space="0" w:color="999999"/>
            </w:tcBorders>
            <w:shd w:val="clear" w:color="auto" w:fill="D9D9D9"/>
          </w:tcPr>
          <w:p w:rsidR="00E85751" w:rsidRDefault="00E85751">
            <w:pPr>
              <w:rPr>
                <w:b/>
                <w:sz w:val="17"/>
                <w:szCs w:val="17"/>
              </w:rPr>
            </w:pPr>
          </w:p>
        </w:tc>
        <w:tc>
          <w:tcPr>
            <w:tcW w:w="1617" w:type="dxa"/>
            <w:tcBorders>
              <w:top w:val="single" w:sz="4" w:space="0" w:color="999999"/>
              <w:left w:val="single" w:sz="4" w:space="0" w:color="999999"/>
              <w:bottom w:val="single" w:sz="4" w:space="0" w:color="999999"/>
              <w:right w:val="single" w:sz="4" w:space="0" w:color="999999"/>
            </w:tcBorders>
            <w:shd w:val="clear" w:color="auto" w:fill="D9D9D9"/>
          </w:tcPr>
          <w:p w:rsidR="00E85751" w:rsidRDefault="00D90E78">
            <w:pPr>
              <w:rPr>
                <w:b/>
                <w:sz w:val="17"/>
                <w:szCs w:val="17"/>
              </w:rPr>
            </w:pPr>
            <w:r>
              <w:rPr>
                <w:b/>
                <w:sz w:val="17"/>
                <w:szCs w:val="17"/>
              </w:rPr>
              <w:t>Phone</w:t>
            </w:r>
          </w:p>
        </w:tc>
        <w:tc>
          <w:tcPr>
            <w:tcW w:w="2562" w:type="dxa"/>
            <w:tcBorders>
              <w:top w:val="single" w:sz="4" w:space="0" w:color="999999"/>
              <w:left w:val="single" w:sz="4" w:space="0" w:color="999999"/>
              <w:bottom w:val="single" w:sz="4" w:space="0" w:color="999999"/>
              <w:right w:val="single" w:sz="4" w:space="0" w:color="999999"/>
            </w:tcBorders>
            <w:shd w:val="clear" w:color="auto" w:fill="D9D9D9"/>
          </w:tcPr>
          <w:p w:rsidR="00E85751" w:rsidRDefault="00D90E78">
            <w:pPr>
              <w:rPr>
                <w:b/>
                <w:sz w:val="17"/>
                <w:szCs w:val="17"/>
              </w:rPr>
            </w:pPr>
            <w:r>
              <w:rPr>
                <w:b/>
                <w:sz w:val="17"/>
                <w:szCs w:val="17"/>
              </w:rPr>
              <w:t>Mail</w:t>
            </w:r>
          </w:p>
        </w:tc>
      </w:tr>
      <w:tr w:rsidR="00E85751">
        <w:tc>
          <w:tcPr>
            <w:tcW w:w="1899" w:type="dxa"/>
            <w:tcBorders>
              <w:top w:val="single" w:sz="4" w:space="0" w:color="999999"/>
              <w:left w:val="single" w:sz="4" w:space="0" w:color="999999"/>
              <w:bottom w:val="single" w:sz="4" w:space="0" w:color="999999"/>
            </w:tcBorders>
            <w:vAlign w:val="center"/>
          </w:tcPr>
          <w:p w:rsidR="00E85751" w:rsidRDefault="00D90E78">
            <w:pPr>
              <w:rPr>
                <w:sz w:val="17"/>
                <w:szCs w:val="17"/>
              </w:rPr>
            </w:pPr>
            <w:r>
              <w:rPr>
                <w:sz w:val="17"/>
                <w:szCs w:val="17"/>
              </w:rPr>
              <w:t>Mr. Vincent Gaff</w:t>
            </w:r>
          </w:p>
        </w:tc>
        <w:tc>
          <w:tcPr>
            <w:tcW w:w="2115" w:type="dxa"/>
            <w:tcBorders>
              <w:top w:val="single" w:sz="4" w:space="0" w:color="999999"/>
              <w:bottom w:val="single" w:sz="4" w:space="0" w:color="999999"/>
              <w:right w:val="single" w:sz="4" w:space="0" w:color="999999"/>
            </w:tcBorders>
            <w:vAlign w:val="center"/>
          </w:tcPr>
          <w:p w:rsidR="00E85751" w:rsidRDefault="00D90E78">
            <w:pPr>
              <w:rPr>
                <w:sz w:val="17"/>
                <w:szCs w:val="17"/>
              </w:rPr>
            </w:pPr>
            <w:r>
              <w:rPr>
                <w:sz w:val="17"/>
                <w:szCs w:val="17"/>
              </w:rPr>
              <w:t>Tronics Microsystems</w:t>
            </w:r>
          </w:p>
          <w:p w:rsidR="00E85751" w:rsidRDefault="00D90E78">
            <w:pPr>
              <w:rPr>
                <w:sz w:val="17"/>
                <w:szCs w:val="17"/>
              </w:rPr>
            </w:pPr>
            <w:r>
              <w:rPr>
                <w:sz w:val="17"/>
                <w:szCs w:val="17"/>
              </w:rPr>
              <w:t>Crolles, FRANCE</w:t>
            </w:r>
          </w:p>
        </w:tc>
        <w:tc>
          <w:tcPr>
            <w:tcW w:w="1617" w:type="dxa"/>
            <w:tcBorders>
              <w:top w:val="single" w:sz="4" w:space="0" w:color="999999"/>
              <w:left w:val="single" w:sz="4" w:space="0" w:color="999999"/>
              <w:bottom w:val="single" w:sz="4" w:space="0" w:color="999999"/>
              <w:right w:val="single" w:sz="4" w:space="0" w:color="999999"/>
            </w:tcBorders>
            <w:vAlign w:val="center"/>
          </w:tcPr>
          <w:p w:rsidR="00E85751" w:rsidRDefault="00D90E78">
            <w:pPr>
              <w:rPr>
                <w:sz w:val="17"/>
                <w:szCs w:val="17"/>
              </w:rPr>
            </w:pPr>
            <w:r>
              <w:rPr>
                <w:sz w:val="17"/>
                <w:szCs w:val="17"/>
              </w:rPr>
              <w:t>+33 4 76 97 29 60</w:t>
            </w:r>
          </w:p>
        </w:tc>
        <w:tc>
          <w:tcPr>
            <w:tcW w:w="2562" w:type="dxa"/>
            <w:tcBorders>
              <w:top w:val="single" w:sz="4" w:space="0" w:color="999999"/>
              <w:left w:val="single" w:sz="4" w:space="0" w:color="999999"/>
              <w:bottom w:val="single" w:sz="4" w:space="0" w:color="999999"/>
              <w:right w:val="single" w:sz="4" w:space="0" w:color="999999"/>
            </w:tcBorders>
            <w:vAlign w:val="center"/>
          </w:tcPr>
          <w:p w:rsidR="00E85751" w:rsidRDefault="008952EF">
            <w:pPr>
              <w:rPr>
                <w:color w:val="0000FF"/>
                <w:sz w:val="17"/>
                <w:szCs w:val="17"/>
                <w:u w:val="single"/>
              </w:rPr>
            </w:pPr>
            <w:hyperlink r:id="rId10">
              <w:r w:rsidR="00D90E78">
                <w:rPr>
                  <w:rFonts w:eastAsia="Arial"/>
                  <w:color w:val="0000FF"/>
                  <w:sz w:val="17"/>
                  <w:szCs w:val="17"/>
                  <w:u w:val="single"/>
                </w:rPr>
                <w:t>vincent.gaff@tronicsgroup.com</w:t>
              </w:r>
            </w:hyperlink>
            <w:r w:rsidR="00D90E78">
              <w:rPr>
                <w:color w:val="0000FF"/>
                <w:sz w:val="17"/>
                <w:szCs w:val="17"/>
                <w:u w:val="single"/>
              </w:rPr>
              <w:t xml:space="preserve"> </w:t>
            </w:r>
          </w:p>
        </w:tc>
      </w:tr>
    </w:tbl>
    <w:p w:rsidR="00E85751" w:rsidRDefault="00E85751">
      <w:pPr>
        <w:tabs>
          <w:tab w:val="left" w:pos="3000"/>
        </w:tabs>
      </w:pPr>
    </w:p>
    <w:p w:rsidR="00E85751" w:rsidRDefault="00E85751">
      <w:pPr>
        <w:keepNext/>
        <w:pBdr>
          <w:top w:val="nil"/>
          <w:left w:val="nil"/>
          <w:bottom w:val="nil"/>
          <w:right w:val="nil"/>
          <w:between w:val="nil"/>
        </w:pBdr>
        <w:spacing w:after="60"/>
        <w:rPr>
          <w:rFonts w:ascii="Arial Fett" w:eastAsia="Arial Fett" w:hAnsi="Arial Fett" w:cs="Arial Fett"/>
          <w:b/>
          <w:sz w:val="20"/>
          <w:szCs w:val="20"/>
        </w:rPr>
      </w:pPr>
    </w:p>
    <w:sectPr w:rsidR="00E85751">
      <w:headerReference w:type="default" r:id="rId11"/>
      <w:footerReference w:type="default" r:id="rId12"/>
      <w:pgSz w:w="11906" w:h="16838"/>
      <w:pgMar w:top="2410" w:right="1134" w:bottom="1276" w:left="1701" w:header="851"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432" w:rsidRDefault="00D90E78">
      <w:r>
        <w:separator/>
      </w:r>
    </w:p>
  </w:endnote>
  <w:endnote w:type="continuationSeparator" w:id="0">
    <w:p w:rsidR="00C32432" w:rsidRDefault="00D9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Fett">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751" w:rsidRDefault="00E85751">
    <w:pPr>
      <w:widowControl w:val="0"/>
      <w:pBdr>
        <w:top w:val="nil"/>
        <w:left w:val="nil"/>
        <w:bottom w:val="nil"/>
        <w:right w:val="nil"/>
        <w:between w:val="nil"/>
      </w:pBdr>
      <w:spacing w:line="276" w:lineRule="auto"/>
      <w:rPr>
        <w:rFonts w:eastAsia="Arial"/>
        <w:sz w:val="20"/>
        <w:szCs w:val="20"/>
      </w:rPr>
    </w:pPr>
  </w:p>
  <w:tbl>
    <w:tblPr>
      <w:tblStyle w:val="a1"/>
      <w:tblW w:w="9284" w:type="dxa"/>
      <w:tblLayout w:type="fixed"/>
      <w:tblLook w:val="0000" w:firstRow="0" w:lastRow="0" w:firstColumn="0" w:lastColumn="0" w:noHBand="0" w:noVBand="0"/>
    </w:tblPr>
    <w:tblGrid>
      <w:gridCol w:w="8434"/>
      <w:gridCol w:w="850"/>
    </w:tblGrid>
    <w:tr w:rsidR="00E85751">
      <w:tc>
        <w:tcPr>
          <w:tcW w:w="8434" w:type="dxa"/>
        </w:tcPr>
        <w:p w:rsidR="00E85751" w:rsidRDefault="00D90E78">
          <w:pPr>
            <w:pBdr>
              <w:top w:val="nil"/>
              <w:left w:val="nil"/>
              <w:bottom w:val="nil"/>
              <w:right w:val="nil"/>
              <w:between w:val="nil"/>
            </w:pBdr>
            <w:rPr>
              <w:rFonts w:eastAsia="Arial"/>
              <w:b/>
              <w:sz w:val="17"/>
              <w:szCs w:val="17"/>
            </w:rPr>
          </w:pPr>
          <w:r>
            <w:rPr>
              <w:rFonts w:eastAsia="Arial"/>
              <w:sz w:val="17"/>
              <w:szCs w:val="17"/>
            </w:rPr>
            <w:t>TDK Corporation</w:t>
          </w:r>
        </w:p>
      </w:tc>
      <w:tc>
        <w:tcPr>
          <w:tcW w:w="850" w:type="dxa"/>
        </w:tcPr>
        <w:p w:rsidR="00E85751" w:rsidRDefault="00D90E78">
          <w:pPr>
            <w:pBdr>
              <w:top w:val="nil"/>
              <w:left w:val="nil"/>
              <w:bottom w:val="nil"/>
              <w:right w:val="nil"/>
              <w:between w:val="nil"/>
            </w:pBdr>
            <w:jc w:val="right"/>
            <w:rPr>
              <w:rFonts w:eastAsia="Arial"/>
              <w:sz w:val="17"/>
              <w:szCs w:val="17"/>
            </w:rPr>
          </w:pPr>
          <w:r>
            <w:rPr>
              <w:rFonts w:eastAsia="Arial"/>
              <w:b/>
              <w:sz w:val="17"/>
              <w:szCs w:val="17"/>
            </w:rPr>
            <w:fldChar w:fldCharType="begin"/>
          </w:r>
          <w:r>
            <w:rPr>
              <w:rFonts w:eastAsia="Arial"/>
              <w:b/>
              <w:sz w:val="17"/>
              <w:szCs w:val="17"/>
            </w:rPr>
            <w:instrText>PAGE</w:instrText>
          </w:r>
          <w:r>
            <w:rPr>
              <w:rFonts w:eastAsia="Arial"/>
              <w:b/>
              <w:sz w:val="17"/>
              <w:szCs w:val="17"/>
            </w:rPr>
            <w:fldChar w:fldCharType="separate"/>
          </w:r>
          <w:r w:rsidR="008952EF">
            <w:rPr>
              <w:rFonts w:eastAsia="Arial"/>
              <w:b/>
              <w:noProof/>
              <w:sz w:val="17"/>
              <w:szCs w:val="17"/>
            </w:rPr>
            <w:t>1</w:t>
          </w:r>
          <w:r>
            <w:rPr>
              <w:rFonts w:eastAsia="Arial"/>
              <w:b/>
              <w:sz w:val="17"/>
              <w:szCs w:val="17"/>
            </w:rPr>
            <w:fldChar w:fldCharType="end"/>
          </w:r>
          <w:r>
            <w:rPr>
              <w:rFonts w:eastAsia="Arial"/>
              <w:sz w:val="17"/>
              <w:szCs w:val="17"/>
            </w:rPr>
            <w:t xml:space="preserve"> / </w:t>
          </w:r>
          <w:r>
            <w:rPr>
              <w:rFonts w:eastAsia="Arial"/>
              <w:sz w:val="17"/>
              <w:szCs w:val="17"/>
            </w:rPr>
            <w:fldChar w:fldCharType="begin"/>
          </w:r>
          <w:r>
            <w:rPr>
              <w:rFonts w:eastAsia="Arial"/>
              <w:sz w:val="17"/>
              <w:szCs w:val="17"/>
            </w:rPr>
            <w:instrText>NUMPAGES</w:instrText>
          </w:r>
          <w:r>
            <w:rPr>
              <w:rFonts w:eastAsia="Arial"/>
              <w:sz w:val="17"/>
              <w:szCs w:val="17"/>
            </w:rPr>
            <w:fldChar w:fldCharType="separate"/>
          </w:r>
          <w:r w:rsidR="008952EF">
            <w:rPr>
              <w:rFonts w:eastAsia="Arial"/>
              <w:noProof/>
              <w:sz w:val="17"/>
              <w:szCs w:val="17"/>
            </w:rPr>
            <w:t>3</w:t>
          </w:r>
          <w:r>
            <w:rPr>
              <w:rFonts w:eastAsia="Arial"/>
              <w:sz w:val="17"/>
              <w:szCs w:val="17"/>
            </w:rPr>
            <w:fldChar w:fldCharType="end"/>
          </w:r>
        </w:p>
      </w:tc>
    </w:tr>
  </w:tbl>
  <w:p w:rsidR="00E85751" w:rsidRDefault="00E85751">
    <w:pPr>
      <w:pBdr>
        <w:top w:val="nil"/>
        <w:left w:val="nil"/>
        <w:bottom w:val="nil"/>
        <w:right w:val="nil"/>
        <w:between w:val="nil"/>
      </w:pBdr>
      <w:rPr>
        <w:rFonts w:eastAsia="Arial"/>
        <w:sz w:val="17"/>
        <w:szCs w:val="17"/>
      </w:rPr>
    </w:pPr>
  </w:p>
  <w:p w:rsidR="00E85751" w:rsidRDefault="00E85751">
    <w:pPr>
      <w:pBdr>
        <w:top w:val="nil"/>
        <w:left w:val="nil"/>
        <w:bottom w:val="nil"/>
        <w:right w:val="nil"/>
        <w:between w:val="nil"/>
      </w:pBdr>
      <w:rPr>
        <w:rFonts w:eastAsia="Arial"/>
        <w:sz w:val="17"/>
        <w:szCs w:val="17"/>
      </w:rPr>
    </w:pPr>
  </w:p>
  <w:p w:rsidR="00E85751" w:rsidRDefault="00E85751">
    <w:pPr>
      <w:pBdr>
        <w:top w:val="nil"/>
        <w:left w:val="nil"/>
        <w:bottom w:val="nil"/>
        <w:right w:val="nil"/>
        <w:between w:val="nil"/>
      </w:pBdr>
      <w:rPr>
        <w:rFonts w:eastAsia="Arial"/>
        <w:sz w:val="17"/>
        <w:szCs w:val="17"/>
      </w:rPr>
    </w:pPr>
  </w:p>
  <w:p w:rsidR="00E85751" w:rsidRDefault="00E85751">
    <w:pPr>
      <w:pBdr>
        <w:top w:val="nil"/>
        <w:left w:val="nil"/>
        <w:bottom w:val="nil"/>
        <w:right w:val="nil"/>
        <w:between w:val="nil"/>
      </w:pBdr>
      <w:rPr>
        <w:rFonts w:eastAsia="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432" w:rsidRDefault="00D90E78">
      <w:r>
        <w:separator/>
      </w:r>
    </w:p>
  </w:footnote>
  <w:footnote w:type="continuationSeparator" w:id="0">
    <w:p w:rsidR="00C32432" w:rsidRDefault="00D9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751" w:rsidRDefault="00D90E78">
    <w:pPr>
      <w:pBdr>
        <w:top w:val="nil"/>
        <w:left w:val="nil"/>
        <w:bottom w:val="nil"/>
        <w:right w:val="nil"/>
        <w:between w:val="nil"/>
      </w:pBdr>
      <w:rPr>
        <w:rFonts w:eastAsia="Arial"/>
        <w:sz w:val="20"/>
        <w:szCs w:val="20"/>
      </w:rPr>
    </w:pPr>
    <w:r>
      <w:rPr>
        <w:rFonts w:eastAsia="Arial"/>
        <w:noProof/>
        <w:sz w:val="20"/>
        <w:szCs w:val="20"/>
        <w:lang w:val="fr-FR" w:eastAsia="fr-FR"/>
      </w:rPr>
      <w:drawing>
        <wp:inline distT="0" distB="0" distL="0" distR="0">
          <wp:extent cx="5762625" cy="285750"/>
          <wp:effectExtent l="0" t="0" r="0" b="0"/>
          <wp:docPr id="5" name="image1.jpg" descr="120210_TDK_Press information_Header"/>
          <wp:cNvGraphicFramePr/>
          <a:graphic xmlns:a="http://schemas.openxmlformats.org/drawingml/2006/main">
            <a:graphicData uri="http://schemas.openxmlformats.org/drawingml/2006/picture">
              <pic:pic xmlns:pic="http://schemas.openxmlformats.org/drawingml/2006/picture">
                <pic:nvPicPr>
                  <pic:cNvPr id="0" name="image1.jpg" descr="120210_TDK_Press information_Header"/>
                  <pic:cNvPicPr preferRelativeResize="0"/>
                </pic:nvPicPr>
                <pic:blipFill>
                  <a:blip r:embed="rId1"/>
                  <a:srcRect/>
                  <a:stretch>
                    <a:fillRect/>
                  </a:stretch>
                </pic:blipFill>
                <pic:spPr>
                  <a:xfrm>
                    <a:off x="0" y="0"/>
                    <a:ext cx="5762625" cy="285750"/>
                  </a:xfrm>
                  <a:prstGeom prst="rect">
                    <a:avLst/>
                  </a:prstGeom>
                  <a:ln/>
                </pic:spPr>
              </pic:pic>
            </a:graphicData>
          </a:graphic>
        </wp:inline>
      </w:drawing>
    </w:r>
  </w:p>
  <w:p w:rsidR="00E85751" w:rsidRDefault="00E85751">
    <w:pPr>
      <w:pBdr>
        <w:top w:val="nil"/>
        <w:left w:val="nil"/>
        <w:bottom w:val="nil"/>
        <w:right w:val="nil"/>
        <w:between w:val="nil"/>
      </w:pBdr>
      <w:spacing w:before="380"/>
      <w:rPr>
        <w:rFonts w:eastAsia="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82289"/>
    <w:multiLevelType w:val="multilevel"/>
    <w:tmpl w:val="40DC8D18"/>
    <w:lvl w:ilvl="0">
      <w:start w:val="1"/>
      <w:numFmt w:val="decimal"/>
      <w:pStyle w:val="Aufzhlung210p"/>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3A546E"/>
    <w:multiLevelType w:val="multilevel"/>
    <w:tmpl w:val="6D26B758"/>
    <w:lvl w:ilvl="0">
      <w:start w:val="1"/>
      <w:numFmt w:val="bullet"/>
      <w:lvlText w:val="●"/>
      <w:lvlJc w:val="left"/>
      <w:pPr>
        <w:ind w:left="227" w:hanging="227"/>
      </w:pPr>
      <w:rPr>
        <w:rFonts w:ascii="Noto Sans Symbols" w:eastAsia="Noto Sans Symbols" w:hAnsi="Noto Sans Symbols" w:cs="Noto Sans Symbols"/>
        <w:b w:val="0"/>
        <w:i w:val="0"/>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51"/>
    <w:rsid w:val="00586028"/>
    <w:rsid w:val="008952EF"/>
    <w:rsid w:val="00A81546"/>
    <w:rsid w:val="00B838BF"/>
    <w:rsid w:val="00C32432"/>
    <w:rsid w:val="00D76970"/>
    <w:rsid w:val="00D90E78"/>
    <w:rsid w:val="00E85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6B584-E870-42C0-BC42-21623BE4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fr-FR" w:bidi="ar-SA"/>
      </w:rPr>
    </w:rPrDefault>
    <w:pPrDefault>
      <w:pPr>
        <w:tabs>
          <w:tab w:val="left" w:pos="57"/>
        </w:tab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DF"/>
    <w:rPr>
      <w:rFonts w:eastAsia="Arial Unicode MS"/>
      <w:color w:val="000000"/>
      <w:lang w:eastAsia="en-US"/>
    </w:rPr>
  </w:style>
  <w:style w:type="paragraph" w:styleId="Titre1">
    <w:name w:val="heading 1"/>
    <w:basedOn w:val="Normal"/>
    <w:next w:val="Normal"/>
    <w:qFormat/>
    <w:pPr>
      <w:keepNext/>
      <w:spacing w:after="60"/>
      <w:outlineLvl w:val="0"/>
    </w:pPr>
    <w:rPr>
      <w:b/>
      <w:sz w:val="36"/>
    </w:rPr>
  </w:style>
  <w:style w:type="paragraph" w:styleId="Titre2">
    <w:name w:val="heading 2"/>
    <w:basedOn w:val="Normal"/>
    <w:next w:val="Normal"/>
    <w:link w:val="Titre2Car"/>
    <w:qFormat/>
    <w:pPr>
      <w:keepNext/>
      <w:outlineLvl w:val="1"/>
    </w:pPr>
    <w:rPr>
      <w:rFonts w:ascii="Arial Fett" w:hAnsi="Arial Fett"/>
      <w:b/>
      <w:sz w:val="20"/>
    </w:rPr>
  </w:style>
  <w:style w:type="paragraph" w:styleId="Titre3">
    <w:name w:val="heading 3"/>
    <w:basedOn w:val="Normal"/>
    <w:next w:val="Normal"/>
    <w:qFormat/>
    <w:pPr>
      <w:keepNext/>
      <w:spacing w:after="120"/>
      <w:outlineLvl w:val="2"/>
    </w:pPr>
    <w:rPr>
      <w:b/>
      <w:sz w:val="20"/>
    </w:rPr>
  </w:style>
  <w:style w:type="paragraph" w:styleId="Titre4">
    <w:name w:val="heading 4"/>
    <w:basedOn w:val="Normal"/>
    <w:next w:val="Normal"/>
    <w:qFormat/>
    <w:pPr>
      <w:keepNext/>
      <w:framePr w:w="3039" w:h="340" w:hRule="exact" w:hSpace="170" w:wrap="around" w:vAnchor="page" w:hAnchor="page" w:x="8211" w:y="3034"/>
      <w:spacing w:after="40"/>
      <w:outlineLvl w:val="3"/>
    </w:pPr>
    <w:rPr>
      <w:sz w:val="36"/>
    </w:rPr>
  </w:style>
  <w:style w:type="paragraph" w:styleId="Titre5">
    <w:name w:val="heading 5"/>
    <w:basedOn w:val="Normal"/>
    <w:next w:val="Normal"/>
    <w:qFormat/>
    <w:pPr>
      <w:keepNext/>
      <w:spacing w:after="120"/>
      <w:ind w:left="1026" w:firstLine="57"/>
      <w:outlineLvl w:val="4"/>
    </w:pPr>
    <w:rPr>
      <w:sz w:val="28"/>
    </w:rPr>
  </w:style>
  <w:style w:type="paragraph" w:styleId="Titre6">
    <w:name w:val="heading 6"/>
    <w:basedOn w:val="Normal"/>
    <w:next w:val="Normal"/>
    <w:qFormat/>
    <w:pPr>
      <w:keepNext/>
      <w:ind w:left="567" w:firstLine="57"/>
      <w:outlineLvl w:val="5"/>
    </w:pPr>
    <w:rPr>
      <w:sz w:val="28"/>
    </w:rPr>
  </w:style>
  <w:style w:type="paragraph" w:styleId="Titre7">
    <w:name w:val="heading 7"/>
    <w:basedOn w:val="Normal"/>
    <w:next w:val="Normal"/>
    <w:qFormat/>
    <w:pPr>
      <w:keepNext/>
      <w:outlineLvl w:val="6"/>
    </w:pPr>
    <w:rPr>
      <w:b/>
      <w:bCs/>
    </w:rPr>
  </w:style>
  <w:style w:type="paragraph" w:styleId="Titre8">
    <w:name w:val="heading 8"/>
    <w:basedOn w:val="Normal"/>
    <w:next w:val="Normal"/>
    <w:qFormat/>
    <w:pPr>
      <w:keepNext/>
      <w:outlineLvl w:val="7"/>
    </w:pPr>
    <w:rPr>
      <w:b/>
      <w:bCs/>
      <w:sz w:val="36"/>
    </w:rPr>
  </w:style>
  <w:style w:type="paragraph" w:styleId="Titre9">
    <w:name w:val="heading 9"/>
    <w:basedOn w:val="Normal"/>
    <w:next w:val="Normal"/>
    <w:qFormat/>
    <w:pPr>
      <w:keepNext/>
      <w:outlineLvl w:val="8"/>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rsid w:val="00540CF9"/>
    <w:rPr>
      <w:sz w:val="20"/>
    </w:rPr>
  </w:style>
  <w:style w:type="paragraph" w:styleId="Pieddepage">
    <w:name w:val="footer"/>
    <w:basedOn w:val="Normal"/>
    <w:rPr>
      <w:sz w:val="17"/>
    </w:rPr>
  </w:style>
  <w:style w:type="paragraph" w:styleId="Corpsdetexte2">
    <w:name w:val="Body Text 2"/>
    <w:basedOn w:val="Normal"/>
    <w:pPr>
      <w:spacing w:after="120"/>
    </w:pPr>
    <w:rPr>
      <w:sz w:val="20"/>
      <w:lang w:eastAsia="de-DE"/>
    </w:rPr>
  </w:style>
  <w:style w:type="paragraph" w:styleId="Corpsdetexte">
    <w:name w:val="Body Text"/>
    <w:basedOn w:val="Normal"/>
  </w:style>
  <w:style w:type="paragraph" w:customStyle="1" w:styleId="Bullet">
    <w:name w:val="Bullet"/>
    <w:basedOn w:val="Normal"/>
    <w:pPr>
      <w:spacing w:after="120"/>
      <w:ind w:firstLine="57"/>
    </w:pPr>
    <w:rPr>
      <w:b/>
      <w:sz w:val="24"/>
    </w:rPr>
  </w:style>
  <w:style w:type="paragraph" w:customStyle="1" w:styleId="Aufzhlung210p">
    <w:name w:val="Aufzählung 2 10p"/>
    <w:basedOn w:val="Normal"/>
    <w:rsid w:val="00DE0078"/>
    <w:pPr>
      <w:numPr>
        <w:numId w:val="2"/>
      </w:numPr>
    </w:pPr>
    <w:rPr>
      <w:sz w:val="20"/>
    </w:rPr>
  </w:style>
  <w:style w:type="paragraph" w:customStyle="1" w:styleId="Zwischentitel">
    <w:name w:val="Zwischentitel"/>
    <w:basedOn w:val="Corpsdetexte"/>
    <w:rPr>
      <w:b/>
    </w:rPr>
  </w:style>
  <w:style w:type="character" w:styleId="Lienhypertexte">
    <w:name w:val="Hyperlink"/>
    <w:rPr>
      <w:rFonts w:ascii="Arial" w:hAnsi="Arial"/>
      <w:color w:val="0000FF"/>
      <w:u w:val="single"/>
    </w:rPr>
  </w:style>
  <w:style w:type="paragraph" w:customStyle="1" w:styleId="Textkrper3">
    <w:name w:val="Textkörper3"/>
    <w:basedOn w:val="Corpsdetexte"/>
    <w:pPr>
      <w:spacing w:after="120"/>
      <w:ind w:left="567" w:right="567"/>
    </w:pPr>
    <w:rPr>
      <w:sz w:val="17"/>
    </w:rPr>
  </w:style>
  <w:style w:type="character" w:styleId="Lienhypertextesuivivisit">
    <w:name w:val="FollowedHyperlink"/>
    <w:rPr>
      <w:rFonts w:ascii="Arial" w:hAnsi="Arial"/>
      <w:color w:val="800080"/>
      <w:u w:val="single"/>
    </w:rPr>
  </w:style>
  <w:style w:type="paragraph" w:customStyle="1" w:styleId="Textkrper2">
    <w:name w:val="Textkörper2"/>
    <w:basedOn w:val="Normal"/>
    <w:rPr>
      <w:sz w:val="20"/>
    </w:rPr>
  </w:style>
  <w:style w:type="paragraph" w:styleId="Textedebulles">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lang w:eastAsia="en-US"/>
    </w:rPr>
  </w:style>
  <w:style w:type="table" w:styleId="Grilledutableau">
    <w:name w:val="Table Grid"/>
    <w:basedOn w:val="TableauNormal"/>
    <w:rsid w:val="00DE51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text">
    <w:name w:val="content-text"/>
    <w:basedOn w:val="Policepardfaut"/>
  </w:style>
  <w:style w:type="character" w:styleId="Marquedecommentaire">
    <w:name w:val="annotation reference"/>
    <w:semiHidden/>
    <w:rsid w:val="00EC0D8B"/>
    <w:rPr>
      <w:sz w:val="16"/>
      <w:szCs w:val="16"/>
    </w:rPr>
  </w:style>
  <w:style w:type="paragraph" w:styleId="Commentaire">
    <w:name w:val="annotation text"/>
    <w:basedOn w:val="Normal"/>
    <w:semiHidden/>
    <w:rsid w:val="00EC0D8B"/>
    <w:rPr>
      <w:sz w:val="20"/>
    </w:rPr>
  </w:style>
  <w:style w:type="paragraph" w:customStyle="1" w:styleId="berschrift2Nach3pt">
    <w:name w:val="Überschrift 2 + Nach: 3 pt"/>
    <w:basedOn w:val="Titre2"/>
    <w:rsid w:val="00EC0D8B"/>
    <w:pPr>
      <w:spacing w:after="60"/>
    </w:pPr>
    <w:rPr>
      <w:bCs/>
    </w:rPr>
  </w:style>
  <w:style w:type="paragraph" w:customStyle="1" w:styleId="Normalabsatz">
    <w:name w:val="Normalabsatz"/>
    <w:basedOn w:val="Normal"/>
    <w:rsid w:val="00EC0D8B"/>
    <w:pPr>
      <w:tabs>
        <w:tab w:val="clear" w:pos="57"/>
      </w:tabs>
      <w:spacing w:before="120" w:after="120"/>
    </w:pPr>
    <w:rPr>
      <w:rFonts w:eastAsia="Times New Roman"/>
      <w:snapToGrid w:val="0"/>
      <w:color w:val="auto"/>
      <w:sz w:val="20"/>
      <w:lang w:val="de-DE" w:eastAsia="de-DE"/>
    </w:rPr>
  </w:style>
  <w:style w:type="character" w:customStyle="1" w:styleId="tw4winMark">
    <w:name w:val="tw4winMark"/>
    <w:rsid w:val="00EC0D8B"/>
    <w:rPr>
      <w:rFonts w:ascii="Courier New" w:hAnsi="Courier New" w:cs="Courier New"/>
      <w:vanish/>
      <w:color w:val="800080"/>
      <w:sz w:val="24"/>
      <w:szCs w:val="24"/>
      <w:vertAlign w:val="subscript"/>
    </w:rPr>
  </w:style>
  <w:style w:type="character" w:customStyle="1" w:styleId="tw4winError">
    <w:name w:val="tw4winError"/>
    <w:rsid w:val="00EC0D8B"/>
    <w:rPr>
      <w:rFonts w:ascii="Courier New" w:hAnsi="Courier New" w:cs="Courier New"/>
      <w:color w:val="00FF00"/>
      <w:sz w:val="40"/>
      <w:szCs w:val="40"/>
    </w:rPr>
  </w:style>
  <w:style w:type="character" w:customStyle="1" w:styleId="tw4winTerm">
    <w:name w:val="tw4winTerm"/>
    <w:rsid w:val="00EC0D8B"/>
    <w:rPr>
      <w:color w:val="0000FF"/>
    </w:rPr>
  </w:style>
  <w:style w:type="character" w:customStyle="1" w:styleId="tw4winPopup">
    <w:name w:val="tw4winPopup"/>
    <w:rsid w:val="00EC0D8B"/>
    <w:rPr>
      <w:rFonts w:ascii="Courier New" w:hAnsi="Courier New" w:cs="Courier New"/>
      <w:noProof/>
      <w:color w:val="008000"/>
    </w:rPr>
  </w:style>
  <w:style w:type="character" w:customStyle="1" w:styleId="tw4winJump">
    <w:name w:val="tw4winJump"/>
    <w:rsid w:val="00EC0D8B"/>
    <w:rPr>
      <w:rFonts w:ascii="Courier New" w:hAnsi="Courier New" w:cs="Courier New"/>
      <w:noProof/>
      <w:color w:val="008080"/>
    </w:rPr>
  </w:style>
  <w:style w:type="character" w:customStyle="1" w:styleId="tw4winExternal">
    <w:name w:val="tw4winExternal"/>
    <w:rsid w:val="00EC0D8B"/>
    <w:rPr>
      <w:rFonts w:ascii="Courier New" w:hAnsi="Courier New" w:cs="Courier New"/>
      <w:noProof/>
      <w:color w:val="808080"/>
    </w:rPr>
  </w:style>
  <w:style w:type="character" w:customStyle="1" w:styleId="tw4winInternal">
    <w:name w:val="tw4winInternal"/>
    <w:rsid w:val="00EC0D8B"/>
    <w:rPr>
      <w:rFonts w:ascii="Courier New" w:hAnsi="Courier New" w:cs="Courier New"/>
      <w:noProof/>
      <w:color w:val="FF0000"/>
    </w:rPr>
  </w:style>
  <w:style w:type="character" w:customStyle="1" w:styleId="DONOTTRANSLATE">
    <w:name w:val="DO_NOT_TRANSLATE"/>
    <w:rsid w:val="00EC0D8B"/>
    <w:rPr>
      <w:rFonts w:ascii="Courier New" w:hAnsi="Courier New" w:cs="Courier New"/>
      <w:noProof/>
      <w:color w:val="800000"/>
    </w:rPr>
  </w:style>
  <w:style w:type="character" w:customStyle="1" w:styleId="Titre2Car">
    <w:name w:val="Titre 2 Car"/>
    <w:link w:val="Titre2"/>
    <w:rsid w:val="005912D7"/>
    <w:rPr>
      <w:rFonts w:ascii="Arial Fett" w:eastAsia="Arial Unicode MS" w:hAnsi="Arial Fett"/>
      <w:b/>
      <w:color w:val="000000"/>
      <w:lang w:val="en-US" w:eastAsia="en-US" w:bidi="ar-SA"/>
    </w:rPr>
  </w:style>
  <w:style w:type="paragraph" w:styleId="Objetducommentaire">
    <w:name w:val="annotation subject"/>
    <w:basedOn w:val="Commentaire"/>
    <w:next w:val="Commentaire"/>
    <w:semiHidden/>
    <w:rsid w:val="00EC0D8B"/>
    <w:rPr>
      <w:b/>
      <w:bCs/>
    </w:rPr>
  </w:style>
  <w:style w:type="character" w:customStyle="1" w:styleId="webstyle-standard--content-text-b">
    <w:name w:val="webstyle-standard--content-text-b"/>
    <w:basedOn w:val="Policepardfaut"/>
    <w:rsid w:val="00964A84"/>
  </w:style>
  <w:style w:type="numbering" w:customStyle="1" w:styleId="Aufgezhlt">
    <w:name w:val="Aufgezählt"/>
    <w:basedOn w:val="Aucuneliste"/>
    <w:rsid w:val="000955F8"/>
  </w:style>
  <w:style w:type="paragraph" w:customStyle="1" w:styleId="Formatvorlage1">
    <w:name w:val="Formatvorlage1"/>
    <w:basedOn w:val="Normal"/>
    <w:rsid w:val="00D21C5E"/>
    <w:pPr>
      <w:tabs>
        <w:tab w:val="num" w:pos="227"/>
      </w:tabs>
      <w:spacing w:after="40"/>
      <w:ind w:left="227" w:hanging="227"/>
    </w:pPr>
    <w:rPr>
      <w:sz w:val="20"/>
    </w:rPr>
  </w:style>
  <w:style w:type="table" w:customStyle="1" w:styleId="Tabellengitternetz1">
    <w:name w:val="Tabellengitternetz1"/>
    <w:basedOn w:val="TableauNormal"/>
    <w:next w:val="Grilledutableau"/>
    <w:rsid w:val="00736C0D"/>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fgezhlt1">
    <w:name w:val="Aufgezählt1"/>
    <w:basedOn w:val="Aucuneliste"/>
    <w:rsid w:val="00AB3173"/>
  </w:style>
  <w:style w:type="character" w:customStyle="1" w:styleId="10pt">
    <w:name w:val="10 pt"/>
    <w:rsid w:val="0023754E"/>
    <w:rPr>
      <w:rFonts w:ascii="Arial" w:hAnsi="Arial"/>
      <w:sz w:val="20"/>
      <w:lang w:val="de-DE"/>
    </w:rPr>
  </w:style>
  <w:style w:type="table" w:customStyle="1" w:styleId="Tabellengitternetz2">
    <w:name w:val="Tabellengitternetz2"/>
    <w:basedOn w:val="TableauNormal"/>
    <w:next w:val="Grilledutableau"/>
    <w:rsid w:val="00736C0D"/>
    <w:rPr>
      <w:color w:val="000000"/>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ufzhlungszeichen2Links0cmErsteZeile0cm1">
    <w:name w:val="Aufzählungszeichen 2 + Links:  0 cm Erste Zeile:  0 cm1"/>
    <w:basedOn w:val="Normal"/>
    <w:rsid w:val="005521C6"/>
    <w:pPr>
      <w:tabs>
        <w:tab w:val="num" w:pos="720"/>
      </w:tabs>
      <w:ind w:left="720" w:hanging="720"/>
    </w:pPr>
  </w:style>
  <w:style w:type="paragraph" w:styleId="Listepuces">
    <w:name w:val="List Bullet"/>
    <w:basedOn w:val="Normal"/>
    <w:rsid w:val="005521C6"/>
  </w:style>
  <w:style w:type="paragraph" w:styleId="Rvision">
    <w:name w:val="Revision"/>
    <w:hidden/>
    <w:uiPriority w:val="99"/>
    <w:semiHidden/>
    <w:rsid w:val="00BE686B"/>
    <w:rPr>
      <w:rFonts w:eastAsia="Arial Unicode MS"/>
      <w:color w:val="000000"/>
      <w:lang w:eastAsia="en-U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table" w:customStyle="1" w:styleId="a1">
    <w:basedOn w:val="Tableau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ronics.tdk.com/inertial-sensors/high-performance-mems-inertial-sensors/axo-high-performance-mems-acceleromet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ronicsgroup.com" TargetMode="External"/><Relationship Id="rId4" Type="http://schemas.openxmlformats.org/officeDocument/2006/relationships/settings" Target="settings.xml"/><Relationship Id="rId9" Type="http://schemas.openxmlformats.org/officeDocument/2006/relationships/hyperlink" Target="mailto:info@tronicsgrou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6//oj6WRdYL03Rjr5cY+eCEkww==">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6460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TDK Berlin</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TDK</dc:creator>
  <cp:lastModifiedBy>Vincent GAFF</cp:lastModifiedBy>
  <cp:revision>2</cp:revision>
  <dcterms:created xsi:type="dcterms:W3CDTF">2021-10-13T16:41:00Z</dcterms:created>
  <dcterms:modified xsi:type="dcterms:W3CDTF">2021-10-13T16:41:00Z</dcterms:modified>
</cp:coreProperties>
</file>